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56422" w:rsidRDefault="00D56422" w:rsidP="00D56422">
      <w:pPr>
        <w:spacing w:before="100" w:beforeAutospacing="1" w:after="100" w:afterAutospacing="1" w:line="240" w:lineRule="auto"/>
        <w:jc w:val="both"/>
        <w:rPr>
          <w:rFonts w:cs="Arial"/>
          <w:color w:val="333333"/>
          <w:sz w:val="20"/>
          <w:szCs w:val="20"/>
          <w:lang w:val="en-US" w:eastAsia="fr-FR"/>
        </w:rPr>
      </w:pPr>
      <w:r>
        <w:rPr>
          <w:rFonts w:cs="Arial"/>
          <w:noProof/>
          <w:color w:val="333333"/>
          <w:sz w:val="20"/>
          <w:szCs w:val="20"/>
          <w:lang w:val="en-US" w:eastAsia="fr-FR"/>
        </w:rPr>
        <w:drawing>
          <wp:anchor distT="0" distB="0" distL="114300" distR="114300" simplePos="0" relativeHeight="251658752" behindDoc="1" locked="0" layoutInCell="1" allowOverlap="1">
            <wp:simplePos x="0" y="0"/>
            <wp:positionH relativeFrom="column">
              <wp:posOffset>721995</wp:posOffset>
            </wp:positionH>
            <wp:positionV relativeFrom="paragraph">
              <wp:posOffset>836930</wp:posOffset>
            </wp:positionV>
            <wp:extent cx="3086100" cy="2056130"/>
            <wp:effectExtent l="0" t="0" r="0" b="1270"/>
            <wp:wrapThrough wrapText="bothSides">
              <wp:wrapPolygon edited="0">
                <wp:start x="0" y="0"/>
                <wp:lineTo x="0" y="21480"/>
                <wp:lineTo x="21511" y="21480"/>
                <wp:lineTo x="21511" y="0"/>
                <wp:lineTo x="0" y="0"/>
              </wp:wrapPolygon>
            </wp:wrapThrough>
            <wp:docPr id="1" name="Image 1" descr="Une image contenant personne, intérieur, portabl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intérieur, portable, homme&#10;&#10;Description générée automatiquement"/>
                    <pic:cNvPicPr/>
                  </pic:nvPicPr>
                  <pic:blipFill>
                    <a:blip r:embed="rId8"/>
                    <a:stretch>
                      <a:fillRect/>
                    </a:stretch>
                  </pic:blipFill>
                  <pic:spPr>
                    <a:xfrm>
                      <a:off x="0" y="0"/>
                      <a:ext cx="3086100" cy="2056130"/>
                    </a:xfrm>
                    <a:prstGeom prst="rect">
                      <a:avLst/>
                    </a:prstGeom>
                  </pic:spPr>
                </pic:pic>
              </a:graphicData>
            </a:graphic>
            <wp14:sizeRelH relativeFrom="page">
              <wp14:pctWidth>0</wp14:pctWidth>
            </wp14:sizeRelH>
            <wp14:sizeRelV relativeFrom="page">
              <wp14:pctHeight>0</wp14:pctHeight>
            </wp14:sizeRelV>
          </wp:anchor>
        </w:drawing>
      </w:r>
    </w:p>
    <w:p w:rsidR="00D56422" w:rsidRDefault="00D56422" w:rsidP="00D56422">
      <w:pPr>
        <w:spacing w:before="100" w:beforeAutospacing="1" w:after="100" w:afterAutospacing="1" w:line="240" w:lineRule="auto"/>
        <w:jc w:val="both"/>
        <w:rPr>
          <w:rFonts w:cs="Arial"/>
          <w:color w:val="333333"/>
          <w:sz w:val="20"/>
          <w:szCs w:val="20"/>
          <w:lang w:val="en-US" w:eastAsia="fr-FR"/>
        </w:rPr>
      </w:pPr>
    </w:p>
    <w:p w:rsidR="00D56422" w:rsidRDefault="00D56422" w:rsidP="00D56422">
      <w:pPr>
        <w:spacing w:before="100" w:beforeAutospacing="1" w:after="100" w:afterAutospacing="1" w:line="240" w:lineRule="auto"/>
        <w:jc w:val="both"/>
        <w:rPr>
          <w:rFonts w:cs="Arial"/>
          <w:color w:val="333333"/>
          <w:sz w:val="20"/>
          <w:szCs w:val="20"/>
          <w:lang w:val="en-US" w:eastAsia="fr-FR"/>
        </w:rPr>
      </w:pPr>
    </w:p>
    <w:p w:rsidR="00D56422" w:rsidRDefault="00D56422" w:rsidP="00D56422">
      <w:pPr>
        <w:spacing w:before="100" w:beforeAutospacing="1" w:after="100" w:afterAutospacing="1" w:line="240" w:lineRule="auto"/>
        <w:jc w:val="both"/>
        <w:rPr>
          <w:rFonts w:cs="Arial"/>
          <w:color w:val="333333"/>
          <w:sz w:val="20"/>
          <w:szCs w:val="20"/>
          <w:lang w:val="en-US" w:eastAsia="fr-FR"/>
        </w:rPr>
      </w:pPr>
    </w:p>
    <w:p w:rsidR="00D56422" w:rsidRDefault="00D56422" w:rsidP="00D56422">
      <w:pPr>
        <w:spacing w:before="100" w:beforeAutospacing="1" w:after="100" w:afterAutospacing="1" w:line="240" w:lineRule="auto"/>
        <w:jc w:val="both"/>
        <w:rPr>
          <w:rFonts w:cs="Arial"/>
          <w:color w:val="333333"/>
          <w:sz w:val="20"/>
          <w:szCs w:val="20"/>
          <w:lang w:val="en-US" w:eastAsia="fr-FR"/>
        </w:rPr>
      </w:pPr>
    </w:p>
    <w:p w:rsidR="00D56422" w:rsidRDefault="00D56422" w:rsidP="00D56422">
      <w:pPr>
        <w:spacing w:before="100" w:beforeAutospacing="1" w:after="100" w:afterAutospacing="1" w:line="240" w:lineRule="auto"/>
        <w:jc w:val="both"/>
        <w:rPr>
          <w:rFonts w:cs="Arial"/>
          <w:color w:val="333333"/>
          <w:sz w:val="20"/>
          <w:szCs w:val="20"/>
          <w:lang w:val="en-US" w:eastAsia="fr-FR"/>
        </w:rPr>
      </w:pPr>
    </w:p>
    <w:p w:rsidR="00D56422" w:rsidRDefault="00D56422" w:rsidP="00D56422">
      <w:pPr>
        <w:spacing w:before="100" w:beforeAutospacing="1" w:after="100" w:afterAutospacing="1" w:line="240" w:lineRule="auto"/>
        <w:jc w:val="both"/>
        <w:rPr>
          <w:rFonts w:cs="Arial"/>
          <w:color w:val="333333"/>
          <w:sz w:val="20"/>
          <w:szCs w:val="20"/>
          <w:lang w:val="en-US" w:eastAsia="fr-FR"/>
        </w:rPr>
      </w:pPr>
    </w:p>
    <w:p w:rsidR="00D56422" w:rsidRDefault="00D56422" w:rsidP="00D56422">
      <w:pPr>
        <w:spacing w:before="100" w:beforeAutospacing="1" w:after="100" w:afterAutospacing="1" w:line="240" w:lineRule="auto"/>
        <w:jc w:val="both"/>
        <w:rPr>
          <w:rFonts w:cs="Arial"/>
          <w:color w:val="333333"/>
          <w:sz w:val="20"/>
          <w:szCs w:val="20"/>
          <w:lang w:val="en-US" w:eastAsia="fr-FR"/>
        </w:rPr>
      </w:pPr>
    </w:p>
    <w:p w:rsidR="00D56422" w:rsidRDefault="00D56422" w:rsidP="00D56422">
      <w:pPr>
        <w:spacing w:before="100" w:beforeAutospacing="1" w:after="100" w:afterAutospacing="1" w:line="240" w:lineRule="auto"/>
        <w:jc w:val="both"/>
        <w:rPr>
          <w:rFonts w:cs="Arial"/>
          <w:color w:val="333333"/>
          <w:sz w:val="20"/>
          <w:szCs w:val="20"/>
          <w:lang w:val="en-US" w:eastAsia="fr-FR"/>
        </w:rPr>
      </w:pPr>
    </w:p>
    <w:p w:rsidR="00D56422" w:rsidRDefault="00D56422" w:rsidP="00D56422">
      <w:pPr>
        <w:spacing w:before="100" w:beforeAutospacing="1" w:after="100" w:afterAutospacing="1" w:line="240" w:lineRule="auto"/>
        <w:jc w:val="both"/>
        <w:rPr>
          <w:rFonts w:cs="Arial"/>
          <w:color w:val="333333"/>
          <w:sz w:val="20"/>
          <w:szCs w:val="20"/>
          <w:lang w:val="en-US" w:eastAsia="fr-FR"/>
        </w:rPr>
      </w:pPr>
      <w:r>
        <w:rPr>
          <w:rFonts w:cs="Arial"/>
          <w:color w:val="333333"/>
          <w:sz w:val="20"/>
          <w:szCs w:val="20"/>
          <w:lang w:val="en-US" w:eastAsia="fr-FR"/>
        </w:rPr>
        <w:t xml:space="preserve">PLEADINGS </w:t>
      </w: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r w:rsidRPr="00D56422">
        <w:rPr>
          <w:rFonts w:cs="Arial"/>
          <w:color w:val="333333"/>
          <w:sz w:val="20"/>
          <w:szCs w:val="20"/>
          <w:lang w:val="en-US" w:eastAsia="fr-FR"/>
        </w:rPr>
        <w:t>Advisory proceedings</w:t>
      </w: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4 September 2018: Legal Consequences of the Separation of the Chagos Archipelago from Mauritius in 1965, Counsel and Advocate for Argentina, pleading: "La séparation de l'archipel des Chagos s'est faite en violation du droit de la décolonisation", CR 2018/22,</w:t>
      </w:r>
      <w:hyperlink r:id="rId9" w:tgtFrame="_blank" w:history="1">
        <w:r w:rsidRPr="00D56422">
          <w:rPr>
            <w:rFonts w:cs="Arial"/>
            <w:color w:val="0782C1"/>
            <w:sz w:val="20"/>
            <w:szCs w:val="20"/>
            <w:u w:val="single"/>
            <w:lang w:val="en-US" w:eastAsia="fr-FR"/>
          </w:rPr>
          <w:t xml:space="preserve"> pp. </w:t>
        </w:r>
        <w:r w:rsidRPr="00D56422">
          <w:rPr>
            <w:rFonts w:cs="Arial"/>
            <w:color w:val="0782C1"/>
            <w:sz w:val="20"/>
            <w:szCs w:val="20"/>
            <w:u w:val="single"/>
            <w:lang w:val="en-US" w:eastAsia="fr-FR"/>
          </w:rPr>
          <w:t>3</w:t>
        </w:r>
        <w:r w:rsidRPr="00D56422">
          <w:rPr>
            <w:rFonts w:cs="Arial"/>
            <w:color w:val="0782C1"/>
            <w:sz w:val="20"/>
            <w:szCs w:val="20"/>
            <w:u w:val="single"/>
            <w:lang w:val="en-US" w:eastAsia="fr-FR"/>
          </w:rPr>
          <w:t>9-49</w:t>
        </w:r>
      </w:hyperlink>
      <w:r w:rsidRPr="00D56422">
        <w:rPr>
          <w:rFonts w:cs="Arial"/>
          <w:color w:val="333333"/>
          <w:sz w:val="20"/>
          <w:szCs w:val="20"/>
          <w:lang w:val="en-US" w:eastAsia="fr-FR"/>
        </w:rPr>
        <w:t>, </w:t>
      </w:r>
      <w:hyperlink r:id="rId10" w:tgtFrame="_blank" w:history="1">
        <w:r w:rsidRPr="00D56422">
          <w:rPr>
            <w:rFonts w:cs="Arial"/>
            <w:color w:val="0782C1"/>
            <w:sz w:val="20"/>
            <w:szCs w:val="20"/>
            <w:u w:val="single"/>
            <w:lang w:val="en-US" w:eastAsia="fr-FR"/>
          </w:rPr>
          <w:t>vi</w:t>
        </w:r>
        <w:r w:rsidRPr="00D56422">
          <w:rPr>
            <w:rFonts w:cs="Arial"/>
            <w:color w:val="0782C1"/>
            <w:sz w:val="20"/>
            <w:szCs w:val="20"/>
            <w:u w:val="single"/>
            <w:lang w:val="en-US" w:eastAsia="fr-FR"/>
          </w:rPr>
          <w:t>d</w:t>
        </w:r>
        <w:r w:rsidRPr="00D56422">
          <w:rPr>
            <w:rFonts w:cs="Arial"/>
            <w:color w:val="0782C1"/>
            <w:sz w:val="20"/>
            <w:szCs w:val="20"/>
            <w:u w:val="single"/>
            <w:lang w:val="en-US" w:eastAsia="fr-FR"/>
          </w:rPr>
          <w:t>eo </w:t>
        </w:r>
      </w:hyperlink>
      <w:r w:rsidRPr="00D56422">
        <w:rPr>
          <w:rFonts w:cs="Arial"/>
          <w:color w:val="333333"/>
          <w:sz w:val="20"/>
          <w:szCs w:val="20"/>
          <w:lang w:val="en-US" w:eastAsia="fr-FR"/>
        </w:rPr>
        <w:t>(starting at 0:11:53)</w:t>
      </w:r>
      <w:r w:rsidRPr="00D56422">
        <w:rPr>
          <w:rFonts w:cs="Arial"/>
          <w:color w:val="333333"/>
          <w:sz w:val="20"/>
          <w:szCs w:val="20"/>
          <w:lang w:val="en-US" w:eastAsia="fr-FR"/>
        </w:rPr>
        <w:br/>
        <w:t>- International Court of Justice, The Hague, 1 December 2009, </w:t>
      </w:r>
      <w:r w:rsidRPr="00D56422">
        <w:rPr>
          <w:rFonts w:cs="Arial"/>
          <w:i/>
          <w:iCs/>
          <w:color w:val="333333"/>
          <w:sz w:val="20"/>
          <w:szCs w:val="20"/>
          <w:lang w:val="en-US" w:eastAsia="fr-FR"/>
        </w:rPr>
        <w:t>Advisory proceedings on the Accordance with International Law of the Unilateral Declaration of Independence by the Provisional Institutions of Self-Government of Kosovo</w:t>
      </w:r>
      <w:r w:rsidRPr="00D56422">
        <w:rPr>
          <w:rFonts w:cs="Arial"/>
          <w:color w:val="333333"/>
          <w:sz w:val="20"/>
          <w:szCs w:val="20"/>
          <w:lang w:val="en-US" w:eastAsia="fr-FR"/>
        </w:rPr>
        <w:t>, Legal Advisor for Serbia, pleadings: "Les arguments de l'autodétermination, de la neutralité juridique et du caractère </w:t>
      </w:r>
      <w:r w:rsidRPr="00D56422">
        <w:rPr>
          <w:rFonts w:cs="Arial"/>
          <w:i/>
          <w:iCs/>
          <w:color w:val="333333"/>
          <w:sz w:val="20"/>
          <w:szCs w:val="20"/>
          <w:lang w:val="en-US" w:eastAsia="fr-FR"/>
        </w:rPr>
        <w:t>sui generis </w:t>
      </w:r>
      <w:r w:rsidRPr="00D56422">
        <w:rPr>
          <w:rFonts w:cs="Arial"/>
          <w:color w:val="333333"/>
          <w:sz w:val="20"/>
          <w:szCs w:val="20"/>
          <w:lang w:val="en-US" w:eastAsia="fr-FR"/>
        </w:rPr>
        <w:t>du cas du Kosovo doivent être rejetés" (translation: "The Arguments of Self-Determination, Legal Neutrality and the </w:t>
      </w:r>
      <w:r w:rsidRPr="00D56422">
        <w:rPr>
          <w:rFonts w:cs="Arial"/>
          <w:i/>
          <w:iCs/>
          <w:color w:val="333333"/>
          <w:sz w:val="20"/>
          <w:szCs w:val="20"/>
          <w:lang w:val="en-US" w:eastAsia="fr-FR"/>
        </w:rPr>
        <w:t>Sui Generis</w:t>
      </w:r>
      <w:r w:rsidRPr="00D56422">
        <w:rPr>
          <w:rFonts w:cs="Arial"/>
          <w:color w:val="333333"/>
          <w:sz w:val="20"/>
          <w:szCs w:val="20"/>
          <w:lang w:val="en-US" w:eastAsia="fr-FR"/>
        </w:rPr>
        <w:t> Character of the Kosovo Case must be Dismissed") (CR 2009/24, </w:t>
      </w:r>
      <w:hyperlink r:id="rId11" w:tgtFrame="_blank" w:history="1">
        <w:r w:rsidRPr="00D56422">
          <w:rPr>
            <w:rFonts w:cs="Arial"/>
            <w:color w:val="0782C1"/>
            <w:sz w:val="20"/>
            <w:szCs w:val="20"/>
            <w:u w:val="single"/>
            <w:lang w:val="en-US" w:eastAsia="fr-FR"/>
          </w:rPr>
          <w:t>origi</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al: pp</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76-</w:t>
        </w:r>
        <w:r w:rsidRPr="00D56422">
          <w:rPr>
            <w:rFonts w:cs="Arial"/>
            <w:color w:val="0782C1"/>
            <w:sz w:val="20"/>
            <w:szCs w:val="20"/>
            <w:u w:val="single"/>
            <w:lang w:val="en-US" w:eastAsia="fr-FR"/>
          </w:rPr>
          <w:t>9</w:t>
        </w:r>
        <w:r w:rsidRPr="00D56422">
          <w:rPr>
            <w:rFonts w:cs="Arial"/>
            <w:color w:val="0782C1"/>
            <w:sz w:val="20"/>
            <w:szCs w:val="20"/>
            <w:u w:val="single"/>
            <w:lang w:val="en-US" w:eastAsia="fr-FR"/>
          </w:rPr>
          <w:t>0</w:t>
        </w:r>
      </w:hyperlink>
      <w:r w:rsidRPr="00D56422">
        <w:rPr>
          <w:rFonts w:cs="Arial"/>
          <w:color w:val="333333"/>
          <w:sz w:val="20"/>
          <w:szCs w:val="20"/>
          <w:lang w:val="en-US" w:eastAsia="fr-FR"/>
        </w:rPr>
        <w:t>; </w:t>
      </w:r>
      <w:hyperlink r:id="rId12" w:tgtFrame="_blank" w:history="1">
        <w:r w:rsidRPr="00D56422">
          <w:rPr>
            <w:rFonts w:cs="Arial"/>
            <w:color w:val="0782C1"/>
            <w:sz w:val="20"/>
            <w:szCs w:val="20"/>
            <w:u w:val="single"/>
            <w:lang w:val="en-US" w:eastAsia="fr-FR"/>
          </w:rPr>
          <w:t>translatio</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 p</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5</w:t>
        </w:r>
        <w:r w:rsidRPr="00D56422">
          <w:rPr>
            <w:rFonts w:cs="Arial"/>
            <w:color w:val="0782C1"/>
            <w:sz w:val="20"/>
            <w:szCs w:val="20"/>
            <w:u w:val="single"/>
            <w:lang w:val="en-US" w:eastAsia="fr-FR"/>
          </w:rPr>
          <w:t>3-66</w:t>
        </w:r>
      </w:hyperlink>
      <w:r w:rsidRPr="00D56422">
        <w:rPr>
          <w:rFonts w:cs="Arial"/>
          <w:color w:val="333333"/>
          <w:sz w:val="20"/>
          <w:szCs w:val="20"/>
          <w:lang w:val="en-US" w:eastAsia="fr-FR"/>
        </w:rPr>
        <w:t>).</w:t>
      </w: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r w:rsidRPr="00D56422">
        <w:rPr>
          <w:rFonts w:cs="Arial"/>
          <w:color w:val="333333"/>
          <w:sz w:val="20"/>
          <w:szCs w:val="20"/>
          <w:lang w:val="en-US" w:eastAsia="fr-FR"/>
        </w:rPr>
        <w:br/>
        <w:t>Contentious cases</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2017</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3 July 2017, Land Boundary in the Northern Part of Isla Portillos (Costa Rica v. Nicaragua), pleadings: ''La Cour doit préciser la frontière et non rouvrir une question déjà tranchée'' (translation: ''The court must define the boundary and not reopen a question which has already been settled'') (CR 2017/8,</w:t>
      </w:r>
      <w:hyperlink r:id="rId13" w:tgtFrame="_blank" w:history="1">
        <w:r w:rsidRPr="00D56422">
          <w:rPr>
            <w:rFonts w:cs="Arial"/>
            <w:color w:val="0782C1"/>
            <w:sz w:val="20"/>
            <w:szCs w:val="20"/>
            <w:u w:val="single"/>
            <w:lang w:val="en-US" w:eastAsia="fr-FR"/>
          </w:rPr>
          <w:t> original:</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pp 10-20</w:t>
        </w:r>
      </w:hyperlink>
      <w:r w:rsidRPr="00D56422">
        <w:rPr>
          <w:rFonts w:cs="Arial"/>
          <w:color w:val="333333"/>
          <w:sz w:val="20"/>
          <w:szCs w:val="20"/>
          <w:lang w:val="en-US" w:eastAsia="fr-FR"/>
        </w:rPr>
        <w:t>; </w:t>
      </w:r>
      <w:hyperlink r:id="rId14" w:tgtFrame="_blank" w:history="1">
        <w:r w:rsidRPr="00D56422">
          <w:rPr>
            <w:rFonts w:cs="Arial"/>
            <w:color w:val="0782C1"/>
            <w:sz w:val="20"/>
            <w:szCs w:val="20"/>
            <w:u w:val="single"/>
            <w:lang w:val="en-US" w:eastAsia="fr-FR"/>
          </w:rPr>
          <w:t>translati</w:t>
        </w:r>
        <w:r w:rsidRPr="00D56422">
          <w:rPr>
            <w:rFonts w:cs="Arial"/>
            <w:color w:val="0782C1"/>
            <w:sz w:val="20"/>
            <w:szCs w:val="20"/>
            <w:u w:val="single"/>
            <w:lang w:val="en-US" w:eastAsia="fr-FR"/>
          </w:rPr>
          <w:t>o</w:t>
        </w:r>
        <w:r w:rsidRPr="00D56422">
          <w:rPr>
            <w:rFonts w:cs="Arial"/>
            <w:color w:val="0782C1"/>
            <w:sz w:val="20"/>
            <w:szCs w:val="20"/>
            <w:u w:val="single"/>
            <w:lang w:val="en-US" w:eastAsia="fr-FR"/>
          </w:rPr>
          <w:t>n: pp. 2-11</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4 July 2017, Maritime Delimitation in the Caribbean Sea and the Pacific Ocean (Costa Rica v. Nicaragua), pleadings: ''Les circumstances pertinentes dans la mer des Caraibes et la non-pertinence du traité de 1977'' (translation: ''The relevant circumstances in the Caribbean Sea and the irrelevance of the 1997 treaty'') (CR 2017/9,</w:t>
      </w:r>
      <w:hyperlink r:id="rId15" w:tgtFrame="_blank" w:history="1">
        <w:r w:rsidRPr="00D56422">
          <w:rPr>
            <w:rFonts w:cs="Arial"/>
            <w:color w:val="0782C1"/>
            <w:sz w:val="20"/>
            <w:szCs w:val="20"/>
            <w:u w:val="single"/>
            <w:lang w:val="en-US" w:eastAsia="fr-FR"/>
          </w:rPr>
          <w:t> original: pp 1</w:t>
        </w:r>
        <w:r w:rsidRPr="00D56422">
          <w:rPr>
            <w:rFonts w:cs="Arial"/>
            <w:color w:val="0782C1"/>
            <w:sz w:val="20"/>
            <w:szCs w:val="20"/>
            <w:u w:val="single"/>
            <w:lang w:val="en-US" w:eastAsia="fr-FR"/>
          </w:rPr>
          <w:t>0</w:t>
        </w:r>
        <w:r w:rsidRPr="00D56422">
          <w:rPr>
            <w:rFonts w:cs="Arial"/>
            <w:color w:val="0782C1"/>
            <w:sz w:val="20"/>
            <w:szCs w:val="20"/>
            <w:u w:val="single"/>
            <w:lang w:val="en-US" w:eastAsia="fr-FR"/>
          </w:rPr>
          <w:t>-32</w:t>
        </w:r>
      </w:hyperlink>
      <w:r w:rsidRPr="00D56422">
        <w:rPr>
          <w:rFonts w:cs="Arial"/>
          <w:color w:val="333333"/>
          <w:sz w:val="20"/>
          <w:szCs w:val="20"/>
          <w:lang w:val="en-US" w:eastAsia="fr-FR"/>
        </w:rPr>
        <w:t>; </w:t>
      </w:r>
      <w:hyperlink r:id="rId16" w:tgtFrame="_blank" w:history="1">
        <w:r w:rsidRPr="00D56422">
          <w:rPr>
            <w:rFonts w:cs="Arial"/>
            <w:color w:val="0782C1"/>
            <w:sz w:val="20"/>
            <w:szCs w:val="20"/>
            <w:u w:val="single"/>
            <w:lang w:val="en-US" w:eastAsia="fr-FR"/>
          </w:rPr>
          <w:t>translation:</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pp. 2-23</w:t>
        </w:r>
      </w:hyperlink>
      <w:r w:rsidRPr="00D56422">
        <w:rPr>
          <w:rFonts w:cs="Arial"/>
          <w:color w:val="333333"/>
          <w:sz w:val="20"/>
          <w:szCs w:val="20"/>
          <w:lang w:val="en-US" w:eastAsia="fr-FR"/>
        </w:rPr>
        <w:t>)</w:t>
      </w: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10 July 2017, Land Boundary in the Northern Part of Isla Portillos (Costa Rica v. Nicaragua), pleadings: 'L’affaire d’Isla Portillos dans ses contours précis'' (translation: ''The case of Isla Portillos in its precise contours'') (CR 2017/13,</w:t>
      </w:r>
      <w:hyperlink r:id="rId17" w:tgtFrame="_blank" w:history="1">
        <w:r w:rsidRPr="00D56422">
          <w:rPr>
            <w:rFonts w:cs="Arial"/>
            <w:color w:val="0782C1"/>
            <w:sz w:val="20"/>
            <w:szCs w:val="20"/>
            <w:u w:val="single"/>
            <w:lang w:val="en-US" w:eastAsia="fr-FR"/>
          </w:rPr>
          <w:t> original: p</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xml:space="preserve"> 35-45</w:t>
        </w:r>
      </w:hyperlink>
      <w:r w:rsidRPr="00D56422">
        <w:rPr>
          <w:rFonts w:cs="Arial"/>
          <w:color w:val="333333"/>
          <w:sz w:val="20"/>
          <w:szCs w:val="20"/>
          <w:lang w:val="en-US" w:eastAsia="fr-FR"/>
        </w:rPr>
        <w:t>; </w:t>
      </w:r>
      <w:hyperlink r:id="rId18" w:tgtFrame="_blank" w:history="1">
        <w:r w:rsidRPr="00D56422">
          <w:rPr>
            <w:rFonts w:cs="Arial"/>
            <w:color w:val="0782C1"/>
            <w:sz w:val="20"/>
            <w:szCs w:val="20"/>
            <w:u w:val="single"/>
            <w:lang w:val="en-US" w:eastAsia="fr-FR"/>
          </w:rPr>
          <w:t xml:space="preserve">translation: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p. 31-41</w:t>
        </w:r>
      </w:hyperlink>
      <w:r w:rsidRPr="00D56422">
        <w:rPr>
          <w:rFonts w:cs="Arial"/>
          <w:color w:val="333333"/>
          <w:sz w:val="20"/>
          <w:szCs w:val="20"/>
          <w:lang w:val="en-US" w:eastAsia="fr-FR"/>
        </w:rPr>
        <w:t>)</w:t>
      </w: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10 July 2017, Maritime Delimitation in the Caribbean Sea and the Pacific Ocean (Costa Rica v. Nicaragua), pleadings: ''Les vains efforts du Nicaragua pour faire jouer un rôle à des traités conclus par des Etats tiers'' (translation: ''Nicaragua’s vain attempts to bring into play treaties concluded by third states'') (CR 2017/13,</w:t>
      </w:r>
      <w:hyperlink r:id="rId19" w:tgtFrame="_blank" w:history="1">
        <w:r w:rsidRPr="00D56422">
          <w:rPr>
            <w:rFonts w:cs="Arial"/>
            <w:color w:val="0782C1"/>
            <w:sz w:val="20"/>
            <w:szCs w:val="20"/>
            <w:u w:val="single"/>
            <w:lang w:val="en-US" w:eastAsia="fr-FR"/>
          </w:rPr>
          <w:t xml:space="preserve"> original: pp </w:t>
        </w:r>
        <w:r w:rsidRPr="00D56422">
          <w:rPr>
            <w:rFonts w:cs="Arial"/>
            <w:color w:val="0782C1"/>
            <w:sz w:val="20"/>
            <w:szCs w:val="20"/>
            <w:u w:val="single"/>
            <w:lang w:val="en-US" w:eastAsia="fr-FR"/>
          </w:rPr>
          <w:t>6</w:t>
        </w:r>
        <w:r w:rsidRPr="00D56422">
          <w:rPr>
            <w:rFonts w:cs="Arial"/>
            <w:color w:val="0782C1"/>
            <w:sz w:val="20"/>
            <w:szCs w:val="20"/>
            <w:u w:val="single"/>
            <w:lang w:val="en-US" w:eastAsia="fr-FR"/>
          </w:rPr>
          <w:t>3-72</w:t>
        </w:r>
      </w:hyperlink>
      <w:r w:rsidRPr="00D56422">
        <w:rPr>
          <w:rFonts w:cs="Arial"/>
          <w:color w:val="333333"/>
          <w:sz w:val="20"/>
          <w:szCs w:val="20"/>
          <w:lang w:val="en-US" w:eastAsia="fr-FR"/>
        </w:rPr>
        <w:t>; </w:t>
      </w:r>
      <w:hyperlink r:id="rId20" w:tgtFrame="_blank" w:history="1">
        <w:r w:rsidRPr="00D56422">
          <w:rPr>
            <w:rFonts w:cs="Arial"/>
            <w:color w:val="0782C1"/>
            <w:sz w:val="20"/>
            <w:szCs w:val="20"/>
            <w:u w:val="single"/>
            <w:lang w:val="en-US" w:eastAsia="fr-FR"/>
          </w:rPr>
          <w:t xml:space="preserve">translation: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p. 61-69</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2015</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1 May 2015, </w:t>
      </w:r>
      <w:r w:rsidRPr="00D56422">
        <w:rPr>
          <w:rFonts w:cs="Arial"/>
          <w:i/>
          <w:iCs/>
          <w:color w:val="333333"/>
          <w:sz w:val="20"/>
          <w:szCs w:val="20"/>
          <w:lang w:val="en-US" w:eastAsia="fr-FR"/>
        </w:rPr>
        <w:t>Construction of a Road in Costa Rica along the San Juan River (Nicaragua v. Costa Rica)</w:t>
      </w:r>
      <w:r w:rsidRPr="00D56422">
        <w:rPr>
          <w:rFonts w:cs="Arial"/>
          <w:color w:val="333333"/>
          <w:sz w:val="20"/>
          <w:szCs w:val="20"/>
          <w:lang w:val="en-US" w:eastAsia="fr-FR"/>
        </w:rPr>
        <w:t>, pleadings: “L’absence de la violation de la souveraineté territoriale du Nicaragua et de l’obligation d’effectuer et notifier une étude d’impact environnemental” (translation: “There has been no breach of Nicaragua’s territorial sovereignty or the obligation to carry out and notify an environmental impact assessment”) (CR 2015/17, </w:t>
      </w:r>
      <w:hyperlink r:id="rId21" w:history="1">
        <w:r w:rsidRPr="00D56422">
          <w:rPr>
            <w:rFonts w:cs="Arial"/>
            <w:color w:val="0782C1"/>
            <w:sz w:val="20"/>
            <w:szCs w:val="20"/>
            <w:u w:val="single"/>
            <w:lang w:val="en-US" w:eastAsia="fr-FR"/>
          </w:rPr>
          <w:t>original: pp. 3</w:t>
        </w:r>
        <w:r w:rsidRPr="00D56422">
          <w:rPr>
            <w:rFonts w:cs="Arial"/>
            <w:color w:val="0782C1"/>
            <w:sz w:val="20"/>
            <w:szCs w:val="20"/>
            <w:u w:val="single"/>
            <w:lang w:val="en-US" w:eastAsia="fr-FR"/>
          </w:rPr>
          <w:t>3</w:t>
        </w:r>
        <w:r w:rsidRPr="00D56422">
          <w:rPr>
            <w:rFonts w:cs="Arial"/>
            <w:color w:val="0782C1"/>
            <w:sz w:val="20"/>
            <w:szCs w:val="20"/>
            <w:u w:val="single"/>
            <w:lang w:val="en-US" w:eastAsia="fr-FR"/>
          </w:rPr>
          <w:t>-43</w:t>
        </w:r>
      </w:hyperlink>
      <w:r w:rsidRPr="00D56422">
        <w:rPr>
          <w:rFonts w:cs="Arial"/>
          <w:color w:val="333333"/>
          <w:sz w:val="20"/>
          <w:szCs w:val="20"/>
          <w:lang w:val="en-US" w:eastAsia="fr-FR"/>
        </w:rPr>
        <w:t>; </w:t>
      </w:r>
      <w:hyperlink r:id="rId22" w:history="1">
        <w:r w:rsidRPr="00D56422">
          <w:rPr>
            <w:rFonts w:cs="Arial"/>
            <w:color w:val="0782C1"/>
            <w:sz w:val="20"/>
            <w:szCs w:val="20"/>
            <w:u w:val="single"/>
            <w:lang w:val="en-US" w:eastAsia="fr-FR"/>
          </w:rPr>
          <w:t>translatio</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 pp. 28-38</w:t>
        </w:r>
      </w:hyperlink>
      <w:r w:rsidRPr="00D56422">
        <w:rPr>
          <w:rFonts w:cs="Arial"/>
          <w:color w:val="333333"/>
          <w:sz w:val="20"/>
          <w:szCs w:val="20"/>
          <w:lang w:val="en-US" w:eastAsia="fr-FR"/>
        </w:rPr>
        <w:t>; </w:t>
      </w:r>
      <w:hyperlink r:id="rId23" w:history="1">
        <w:r w:rsidRPr="00D56422">
          <w:rPr>
            <w:rFonts w:cs="Arial"/>
            <w:color w:val="0782C1"/>
            <w:sz w:val="20"/>
            <w:szCs w:val="20"/>
            <w:u w:val="single"/>
            <w:lang w:val="en-US" w:eastAsia="fr-FR"/>
          </w:rPr>
          <w:t>vide</w:t>
        </w:r>
        <w:r w:rsidRPr="00D56422">
          <w:rPr>
            <w:rFonts w:cs="Arial"/>
            <w:color w:val="0782C1"/>
            <w:sz w:val="20"/>
            <w:szCs w:val="20"/>
            <w:u w:val="single"/>
            <w:lang w:val="en-US" w:eastAsia="fr-FR"/>
          </w:rPr>
          <w:t>o</w:t>
        </w:r>
        <w:r w:rsidRPr="00D56422">
          <w:rPr>
            <w:rFonts w:cs="Arial"/>
            <w:color w:val="0782C1"/>
            <w:sz w:val="20"/>
            <w:szCs w:val="20"/>
            <w:u w:val="single"/>
            <w:lang w:val="en-US" w:eastAsia="fr-FR"/>
          </w:rPr>
          <w:t xml:space="preserve"> public hearings at 00:58':25"</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24 April 2015, </w:t>
      </w:r>
      <w:r w:rsidRPr="00D56422">
        <w:rPr>
          <w:rFonts w:cs="Arial"/>
          <w:i/>
          <w:iCs/>
          <w:color w:val="333333"/>
          <w:sz w:val="20"/>
          <w:szCs w:val="20"/>
          <w:lang w:val="en-US" w:eastAsia="fr-FR"/>
        </w:rPr>
        <w:t>Construction of a Road in Costa Rica along the San Juan River (Nicaragua v. Costa Rica)</w:t>
      </w:r>
      <w:r w:rsidRPr="00D56422">
        <w:rPr>
          <w:rFonts w:cs="Arial"/>
          <w:color w:val="333333"/>
          <w:sz w:val="20"/>
          <w:szCs w:val="20"/>
          <w:lang w:val="en-US" w:eastAsia="fr-FR"/>
        </w:rPr>
        <w:t>, "Answer to the question raised by Judges Bennouna and Greenwood" (CR 2015/13, </w:t>
      </w:r>
      <w:hyperlink r:id="rId24" w:history="1">
        <w:r w:rsidRPr="00D56422">
          <w:rPr>
            <w:rFonts w:cs="Arial"/>
            <w:color w:val="0782C1"/>
            <w:sz w:val="20"/>
            <w:szCs w:val="20"/>
            <w:u w:val="single"/>
            <w:lang w:val="en-US" w:eastAsia="fr-FR"/>
          </w:rPr>
          <w:t>original: p</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54-57</w:t>
        </w:r>
      </w:hyperlink>
      <w:r w:rsidRPr="00D56422">
        <w:rPr>
          <w:rFonts w:cs="Arial"/>
          <w:color w:val="333333"/>
          <w:sz w:val="20"/>
          <w:szCs w:val="20"/>
          <w:lang w:val="en-US" w:eastAsia="fr-FR"/>
        </w:rPr>
        <w:t>; </w:t>
      </w:r>
      <w:hyperlink r:id="rId25" w:history="1">
        <w:r w:rsidRPr="00D56422">
          <w:rPr>
            <w:rFonts w:cs="Arial"/>
            <w:color w:val="0782C1"/>
            <w:sz w:val="20"/>
            <w:szCs w:val="20"/>
            <w:u w:val="single"/>
            <w:lang w:val="en-US" w:eastAsia="fr-FR"/>
          </w:rPr>
          <w:t>translation</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pp. 50-53</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23 April 2015, </w:t>
      </w:r>
      <w:r w:rsidRPr="00D56422">
        <w:rPr>
          <w:rFonts w:cs="Arial"/>
          <w:i/>
          <w:iCs/>
          <w:color w:val="333333"/>
          <w:sz w:val="20"/>
          <w:szCs w:val="20"/>
          <w:lang w:val="en-US" w:eastAsia="fr-FR"/>
        </w:rPr>
        <w:t>Construction of a Road in Costa Rica along the San Juan River (Nicaragua v. Costa Rica)</w:t>
      </w:r>
      <w:r w:rsidRPr="00D56422">
        <w:rPr>
          <w:rFonts w:cs="Arial"/>
          <w:color w:val="333333"/>
          <w:sz w:val="20"/>
          <w:szCs w:val="20"/>
          <w:lang w:val="en-US" w:eastAsia="fr-FR"/>
        </w:rPr>
        <w:t>, pleadings: “L’absence de violation du traité de 1858, de la souveraineté territoriale du Nicaragua et de l’obligation d’effectuer et notifier une étude d’impact environnemental” (translation: “There has been no breach of the 1858 Treaty, or of Nicaragua’s territorial sovereignty, or of the obligation to carry out and notify an environmental impact study”) (CR 2015/11, </w:t>
      </w:r>
      <w:hyperlink r:id="rId26" w:history="1">
        <w:r w:rsidRPr="00D56422">
          <w:rPr>
            <w:rFonts w:cs="Arial"/>
            <w:color w:val="0782C1"/>
            <w:sz w:val="20"/>
            <w:szCs w:val="20"/>
            <w:u w:val="single"/>
            <w:lang w:val="en-US" w:eastAsia="fr-FR"/>
          </w:rPr>
          <w:t>original: pp.</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37-59</w:t>
        </w:r>
      </w:hyperlink>
      <w:r w:rsidRPr="00D56422">
        <w:rPr>
          <w:rFonts w:cs="Arial"/>
          <w:color w:val="333333"/>
          <w:sz w:val="20"/>
          <w:szCs w:val="20"/>
          <w:lang w:val="en-US" w:eastAsia="fr-FR"/>
        </w:rPr>
        <w:t>; </w:t>
      </w:r>
      <w:hyperlink r:id="rId27" w:history="1">
        <w:r w:rsidRPr="00D56422">
          <w:rPr>
            <w:rFonts w:cs="Arial"/>
            <w:color w:val="0782C1"/>
            <w:sz w:val="20"/>
            <w:szCs w:val="20"/>
            <w:u w:val="single"/>
            <w:lang w:val="en-US" w:eastAsia="fr-FR"/>
          </w:rPr>
          <w:t>tran</w:t>
        </w:r>
        <w:r w:rsidRPr="00D56422">
          <w:rPr>
            <w:rFonts w:cs="Arial"/>
            <w:color w:val="0782C1"/>
            <w:sz w:val="20"/>
            <w:szCs w:val="20"/>
            <w:u w:val="single"/>
            <w:lang w:val="en-US" w:eastAsia="fr-FR"/>
          </w:rPr>
          <w:t>s</w:t>
        </w:r>
        <w:r w:rsidRPr="00D56422">
          <w:rPr>
            <w:rFonts w:cs="Arial"/>
            <w:color w:val="0782C1"/>
            <w:sz w:val="20"/>
            <w:szCs w:val="20"/>
            <w:u w:val="single"/>
            <w:lang w:val="en-US" w:eastAsia="fr-FR"/>
          </w:rPr>
          <w:t>lation: pp. 31-51</w:t>
        </w:r>
      </w:hyperlink>
      <w:r w:rsidRPr="00D56422">
        <w:rPr>
          <w:rFonts w:cs="Arial"/>
          <w:color w:val="333333"/>
          <w:sz w:val="20"/>
          <w:szCs w:val="20"/>
          <w:lang w:val="en-US" w:eastAsia="fr-FR"/>
        </w:rPr>
        <w:t>; </w:t>
      </w:r>
      <w:hyperlink r:id="rId28" w:history="1">
        <w:r w:rsidRPr="00D56422">
          <w:rPr>
            <w:rFonts w:cs="Arial"/>
            <w:color w:val="0782C1"/>
            <w:sz w:val="20"/>
            <w:szCs w:val="20"/>
            <w:u w:val="single"/>
            <w:lang w:val="en-US" w:eastAsia="fr-FR"/>
          </w:rPr>
          <w:t>video</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public hearings at 1:15':10"</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20 April 2015, </w:t>
      </w:r>
      <w:r w:rsidRPr="00D56422">
        <w:rPr>
          <w:rFonts w:cs="Arial"/>
          <w:i/>
          <w:iCs/>
          <w:color w:val="333333"/>
          <w:sz w:val="20"/>
          <w:szCs w:val="20"/>
          <w:lang w:val="en-US" w:eastAsia="fr-FR"/>
        </w:rPr>
        <w:t>Construction of a Road in Costa Rica along the San Juan River (Nicaragua v. Costa Rica)</w:t>
      </w:r>
      <w:r w:rsidRPr="00D56422">
        <w:rPr>
          <w:rFonts w:cs="Arial"/>
          <w:color w:val="333333"/>
          <w:sz w:val="20"/>
          <w:szCs w:val="20"/>
          <w:lang w:val="en-US" w:eastAsia="fr-FR"/>
        </w:rPr>
        <w:t>, "Cross examination to the scientific expert appointed by Nicaragua Dr Sheate" (CR 2015/9, </w:t>
      </w:r>
      <w:hyperlink r:id="rId29" w:history="1">
        <w:r w:rsidRPr="00D56422">
          <w:rPr>
            <w:rFonts w:cs="Arial"/>
            <w:color w:val="0782C1"/>
            <w:sz w:val="20"/>
            <w:szCs w:val="20"/>
            <w:u w:val="single"/>
            <w:lang w:val="en-US" w:eastAsia="fr-FR"/>
          </w:rPr>
          <w:t xml:space="preserve">original: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p. 36-43</w:t>
        </w:r>
      </w:hyperlink>
      <w:r w:rsidRPr="00D56422">
        <w:rPr>
          <w:rFonts w:cs="Arial"/>
          <w:color w:val="333333"/>
          <w:sz w:val="20"/>
          <w:szCs w:val="20"/>
          <w:lang w:val="en-US" w:eastAsia="fr-FR"/>
        </w:rPr>
        <w:t>; </w:t>
      </w:r>
      <w:hyperlink r:id="rId30" w:history="1">
        <w:r w:rsidRPr="00D56422">
          <w:rPr>
            <w:rFonts w:cs="Arial"/>
            <w:color w:val="0782C1"/>
            <w:sz w:val="20"/>
            <w:szCs w:val="20"/>
            <w:u w:val="single"/>
            <w:lang w:val="en-US" w:eastAsia="fr-FR"/>
          </w:rPr>
          <w:t>trans</w:t>
        </w:r>
        <w:r w:rsidRPr="00D56422">
          <w:rPr>
            <w:rFonts w:cs="Arial"/>
            <w:color w:val="0782C1"/>
            <w:sz w:val="20"/>
            <w:szCs w:val="20"/>
            <w:u w:val="single"/>
            <w:lang w:val="en-US" w:eastAsia="fr-FR"/>
          </w:rPr>
          <w:t>l</w:t>
        </w:r>
        <w:r w:rsidRPr="00D56422">
          <w:rPr>
            <w:rFonts w:cs="Arial"/>
            <w:color w:val="0782C1"/>
            <w:sz w:val="20"/>
            <w:szCs w:val="20"/>
            <w:u w:val="single"/>
            <w:lang w:val="en-US" w:eastAsia="fr-FR"/>
          </w:rPr>
          <w:t>ation: pp. 29-37</w:t>
        </w:r>
      </w:hyperlink>
      <w:r w:rsidRPr="00D56422">
        <w:rPr>
          <w:rFonts w:cs="Arial"/>
          <w:color w:val="333333"/>
          <w:sz w:val="20"/>
          <w:szCs w:val="20"/>
          <w:lang w:val="en-US" w:eastAsia="fr-FR"/>
        </w:rPr>
        <w:t>; </w:t>
      </w:r>
      <w:hyperlink r:id="rId31" w:history="1">
        <w:r w:rsidRPr="00D56422">
          <w:rPr>
            <w:rFonts w:cs="Arial"/>
            <w:color w:val="0782C1"/>
            <w:sz w:val="20"/>
            <w:szCs w:val="20"/>
            <w:u w:val="single"/>
            <w:lang w:val="en-US" w:eastAsia="fr-FR"/>
          </w:rPr>
          <w:t>video public hearings at 1:16':44"</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28 April 2015, </w:t>
      </w:r>
      <w:r w:rsidRPr="00D56422">
        <w:rPr>
          <w:rFonts w:cs="Arial"/>
          <w:i/>
          <w:iCs/>
          <w:color w:val="333333"/>
          <w:sz w:val="20"/>
          <w:szCs w:val="20"/>
          <w:lang w:val="en-US" w:eastAsia="fr-FR"/>
        </w:rPr>
        <w:t>Certain Activities carried out by Nicaragua in the Border Area (Costa Rica v. Nicaragua)</w:t>
      </w:r>
      <w:r w:rsidRPr="00D56422">
        <w:rPr>
          <w:rFonts w:cs="Arial"/>
          <w:color w:val="333333"/>
          <w:sz w:val="20"/>
          <w:szCs w:val="20"/>
          <w:lang w:val="en-US" w:eastAsia="fr-FR"/>
        </w:rPr>
        <w:t>, pleadings: “Le Nicaragua est incapable d’articuler une revendication sérieuse de souveraineté et se prépare déjà pour la phase suivante de l’affaire” (translation: “Nicaragua is unable to articulate a genuine claim to sovereignty and is already preparing for the next phase of the proceedings”) (CR 2015/14, </w:t>
      </w:r>
      <w:hyperlink r:id="rId32" w:history="1">
        <w:r w:rsidRPr="00D56422">
          <w:rPr>
            <w:rFonts w:cs="Arial"/>
            <w:color w:val="0782C1"/>
            <w:sz w:val="20"/>
            <w:szCs w:val="20"/>
            <w:u w:val="single"/>
            <w:lang w:val="en-US" w:eastAsia="fr-FR"/>
          </w:rPr>
          <w:t>original: p</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23-39</w:t>
        </w:r>
      </w:hyperlink>
      <w:r w:rsidRPr="00D56422">
        <w:rPr>
          <w:rFonts w:cs="Arial"/>
          <w:color w:val="333333"/>
          <w:sz w:val="20"/>
          <w:szCs w:val="20"/>
          <w:lang w:val="en-US" w:eastAsia="fr-FR"/>
        </w:rPr>
        <w:t>; </w:t>
      </w:r>
      <w:hyperlink r:id="rId33" w:history="1">
        <w:r w:rsidRPr="00D56422">
          <w:rPr>
            <w:rFonts w:cs="Arial"/>
            <w:color w:val="0782C1"/>
            <w:sz w:val="20"/>
            <w:szCs w:val="20"/>
            <w:u w:val="single"/>
            <w:lang w:val="en-US" w:eastAsia="fr-FR"/>
          </w:rPr>
          <w:t>translatio</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 pp. 16-31</w:t>
        </w:r>
      </w:hyperlink>
      <w:r w:rsidRPr="00D56422">
        <w:rPr>
          <w:rFonts w:cs="Arial"/>
          <w:color w:val="333333"/>
          <w:sz w:val="20"/>
          <w:szCs w:val="20"/>
          <w:lang w:val="en-US" w:eastAsia="fr-FR"/>
        </w:rPr>
        <w:t>; </w:t>
      </w:r>
      <w:hyperlink r:id="rId34" w:history="1">
        <w:r w:rsidRPr="00D56422">
          <w:rPr>
            <w:rFonts w:cs="Arial"/>
            <w:color w:val="0782C1"/>
            <w:sz w:val="20"/>
            <w:szCs w:val="20"/>
            <w:u w:val="single"/>
            <w:lang w:val="en-US" w:eastAsia="fr-FR"/>
          </w:rPr>
          <w:t>video p</w:t>
        </w:r>
        <w:r w:rsidRPr="00D56422">
          <w:rPr>
            <w:rFonts w:cs="Arial"/>
            <w:color w:val="0782C1"/>
            <w:sz w:val="20"/>
            <w:szCs w:val="20"/>
            <w:u w:val="single"/>
            <w:lang w:val="en-US" w:eastAsia="fr-FR"/>
          </w:rPr>
          <w:t>u</w:t>
        </w:r>
        <w:r w:rsidRPr="00D56422">
          <w:rPr>
            <w:rFonts w:cs="Arial"/>
            <w:color w:val="0782C1"/>
            <w:sz w:val="20"/>
            <w:szCs w:val="20"/>
            <w:u w:val="single"/>
            <w:lang w:val="en-US" w:eastAsia="fr-FR"/>
          </w:rPr>
          <w:t>blic hearings at 00:34':43"</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15 April 2015, </w:t>
      </w:r>
      <w:r w:rsidRPr="00D56422">
        <w:rPr>
          <w:rFonts w:cs="Arial"/>
          <w:i/>
          <w:iCs/>
          <w:color w:val="333333"/>
          <w:sz w:val="20"/>
          <w:szCs w:val="20"/>
          <w:lang w:val="en-US" w:eastAsia="fr-FR"/>
        </w:rPr>
        <w:t>Certain Activities carried out by Nicaragua in the Border Area (Costa Rica v. Nicaragua)</w:t>
      </w:r>
      <w:r w:rsidRPr="00D56422">
        <w:rPr>
          <w:rFonts w:cs="Arial"/>
          <w:color w:val="333333"/>
          <w:sz w:val="20"/>
          <w:szCs w:val="20"/>
          <w:lang w:val="en-US" w:eastAsia="fr-FR"/>
        </w:rPr>
        <w:t xml:space="preserve">, pleadings: “Remèdes: une simple </w:t>
      </w:r>
      <w:r w:rsidRPr="00D56422">
        <w:rPr>
          <w:rFonts w:cs="Arial"/>
          <w:color w:val="333333"/>
          <w:sz w:val="20"/>
          <w:szCs w:val="20"/>
          <w:lang w:val="en-US" w:eastAsia="fr-FR"/>
        </w:rPr>
        <w:lastRenderedPageBreak/>
        <w:t>constatation n’est pas suffisante” (translation: “Remedies: a simple declaration is not enough”) (CR 2015/4, </w:t>
      </w:r>
      <w:hyperlink r:id="rId35" w:history="1">
        <w:r w:rsidRPr="00D56422">
          <w:rPr>
            <w:rFonts w:cs="Arial"/>
            <w:color w:val="0782C1"/>
            <w:sz w:val="20"/>
            <w:szCs w:val="20"/>
            <w:u w:val="single"/>
            <w:lang w:val="en-US" w:eastAsia="fr-FR"/>
          </w:rPr>
          <w:t xml:space="preserve">original: pp. </w:t>
        </w:r>
        <w:r w:rsidRPr="00D56422">
          <w:rPr>
            <w:rFonts w:cs="Arial"/>
            <w:color w:val="0782C1"/>
            <w:sz w:val="20"/>
            <w:szCs w:val="20"/>
            <w:u w:val="single"/>
            <w:lang w:val="en-US" w:eastAsia="fr-FR"/>
          </w:rPr>
          <w:t>3</w:t>
        </w:r>
        <w:r w:rsidRPr="00D56422">
          <w:rPr>
            <w:rFonts w:cs="Arial"/>
            <w:color w:val="0782C1"/>
            <w:sz w:val="20"/>
            <w:szCs w:val="20"/>
            <w:u w:val="single"/>
            <w:lang w:val="en-US" w:eastAsia="fr-FR"/>
          </w:rPr>
          <w:t>4-44</w:t>
        </w:r>
      </w:hyperlink>
      <w:r w:rsidRPr="00D56422">
        <w:rPr>
          <w:rFonts w:cs="Arial"/>
          <w:color w:val="333333"/>
          <w:sz w:val="20"/>
          <w:szCs w:val="20"/>
          <w:lang w:val="en-US" w:eastAsia="fr-FR"/>
        </w:rPr>
        <w:t>; </w:t>
      </w:r>
      <w:hyperlink r:id="rId36" w:history="1">
        <w:r w:rsidRPr="00D56422">
          <w:rPr>
            <w:rFonts w:cs="Arial"/>
            <w:color w:val="0782C1"/>
            <w:sz w:val="20"/>
            <w:szCs w:val="20"/>
            <w:u w:val="single"/>
            <w:lang w:val="en-US" w:eastAsia="fr-FR"/>
          </w:rPr>
          <w:t>trans</w:t>
        </w:r>
        <w:r w:rsidRPr="00D56422">
          <w:rPr>
            <w:rFonts w:cs="Arial"/>
            <w:color w:val="0782C1"/>
            <w:sz w:val="20"/>
            <w:szCs w:val="20"/>
            <w:u w:val="single"/>
            <w:lang w:val="en-US" w:eastAsia="fr-FR"/>
          </w:rPr>
          <w:t>l</w:t>
        </w:r>
        <w:r w:rsidRPr="00D56422">
          <w:rPr>
            <w:rFonts w:cs="Arial"/>
            <w:color w:val="0782C1"/>
            <w:sz w:val="20"/>
            <w:szCs w:val="20"/>
            <w:u w:val="single"/>
            <w:lang w:val="en-US" w:eastAsia="fr-FR"/>
          </w:rPr>
          <w:t>ation: pp. 28-37</w:t>
        </w:r>
      </w:hyperlink>
      <w:r w:rsidRPr="00D56422">
        <w:rPr>
          <w:rFonts w:cs="Arial"/>
          <w:color w:val="333333"/>
          <w:sz w:val="20"/>
          <w:szCs w:val="20"/>
          <w:lang w:val="en-US" w:eastAsia="fr-FR"/>
        </w:rPr>
        <w:t>; </w:t>
      </w:r>
      <w:hyperlink r:id="rId37" w:history="1">
        <w:r w:rsidRPr="00D56422">
          <w:rPr>
            <w:rFonts w:cs="Arial"/>
            <w:color w:val="0782C1"/>
            <w:sz w:val="20"/>
            <w:szCs w:val="20"/>
            <w:u w:val="single"/>
            <w:lang w:val="en-US" w:eastAsia="fr-FR"/>
          </w:rPr>
          <w:t>video public h</w:t>
        </w:r>
        <w:r w:rsidRPr="00D56422">
          <w:rPr>
            <w:rFonts w:cs="Arial"/>
            <w:color w:val="0782C1"/>
            <w:sz w:val="20"/>
            <w:szCs w:val="20"/>
            <w:u w:val="single"/>
            <w:lang w:val="en-US" w:eastAsia="fr-FR"/>
          </w:rPr>
          <w:t>e</w:t>
        </w:r>
        <w:r w:rsidRPr="00D56422">
          <w:rPr>
            <w:rFonts w:cs="Arial"/>
            <w:color w:val="0782C1"/>
            <w:sz w:val="20"/>
            <w:szCs w:val="20"/>
            <w:u w:val="single"/>
            <w:lang w:val="en-US" w:eastAsia="fr-FR"/>
          </w:rPr>
          <w:t>arings at 00:57':33"</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14 April 2015, </w:t>
      </w:r>
      <w:r w:rsidRPr="00D56422">
        <w:rPr>
          <w:rFonts w:cs="Arial"/>
          <w:i/>
          <w:iCs/>
          <w:color w:val="333333"/>
          <w:sz w:val="20"/>
          <w:szCs w:val="20"/>
          <w:lang w:val="en-US" w:eastAsia="fr-FR"/>
        </w:rPr>
        <w:t>Certain Activities carried out by Nicaragua in the Border Area (Costa Rica v. Nicaragua)</w:t>
      </w:r>
      <w:r w:rsidRPr="00D56422">
        <w:rPr>
          <w:rFonts w:cs="Arial"/>
          <w:color w:val="333333"/>
          <w:sz w:val="20"/>
          <w:szCs w:val="20"/>
          <w:lang w:val="en-US" w:eastAsia="fr-FR"/>
        </w:rPr>
        <w:t>, pleadings: “La revendication de souveraineté du Nicaragua est tardive, sans fondement et visant à cacher son comportement illicite” (translation: “Nicaragua’s claim of sovereignty is untimely, baseless and intended to conceal its wrongful conduct”) (CR 2015/2, </w:t>
      </w:r>
      <w:r w:rsidRPr="00D56422">
        <w:rPr>
          <w:rFonts w:cs="Arial"/>
          <w:color w:val="333333"/>
          <w:sz w:val="20"/>
          <w:szCs w:val="20"/>
          <w:lang w:eastAsia="fr-FR"/>
        </w:rPr>
        <w:fldChar w:fldCharType="begin"/>
      </w:r>
      <w:r w:rsidRPr="00D56422">
        <w:rPr>
          <w:rFonts w:cs="Arial"/>
          <w:color w:val="333333"/>
          <w:sz w:val="20"/>
          <w:szCs w:val="20"/>
          <w:lang w:val="en-US" w:eastAsia="fr-FR"/>
        </w:rPr>
        <w:instrText xml:space="preserve"> HYPERLINK "http://www.icj-cij.org/docket/files/150/18566.pdf" </w:instrText>
      </w:r>
      <w:r w:rsidRPr="00D56422">
        <w:rPr>
          <w:rFonts w:cs="Arial"/>
          <w:color w:val="333333"/>
          <w:sz w:val="20"/>
          <w:szCs w:val="20"/>
          <w:lang w:eastAsia="fr-FR"/>
        </w:rPr>
      </w:r>
      <w:r w:rsidRPr="00D56422">
        <w:rPr>
          <w:rFonts w:cs="Arial"/>
          <w:color w:val="333333"/>
          <w:sz w:val="20"/>
          <w:szCs w:val="20"/>
          <w:lang w:eastAsia="fr-FR"/>
        </w:rPr>
        <w:fldChar w:fldCharType="separate"/>
      </w:r>
      <w:r w:rsidRPr="00D56422">
        <w:rPr>
          <w:rFonts w:cs="Arial"/>
          <w:color w:val="0782C1"/>
          <w:sz w:val="20"/>
          <w:szCs w:val="20"/>
          <w:u w:val="single"/>
          <w:lang w:val="en-US" w:eastAsia="fr-FR"/>
        </w:rPr>
        <w:t>original: pp. 46-73</w:t>
      </w:r>
      <w:r w:rsidRPr="00D56422">
        <w:rPr>
          <w:rFonts w:cs="Arial"/>
          <w:color w:val="333333"/>
          <w:sz w:val="20"/>
          <w:szCs w:val="20"/>
          <w:lang w:eastAsia="fr-FR"/>
        </w:rPr>
        <w:fldChar w:fldCharType="end"/>
      </w:r>
      <w:r w:rsidRPr="00D56422">
        <w:rPr>
          <w:rFonts w:cs="Arial"/>
          <w:color w:val="333333"/>
          <w:sz w:val="20"/>
          <w:szCs w:val="20"/>
          <w:lang w:val="en-US" w:eastAsia="fr-FR"/>
        </w:rPr>
        <w:t>; </w:t>
      </w:r>
      <w:hyperlink r:id="rId38" w:history="1">
        <w:r w:rsidRPr="00D56422">
          <w:rPr>
            <w:rFonts w:cs="Arial"/>
            <w:color w:val="0782C1"/>
            <w:sz w:val="20"/>
            <w:szCs w:val="20"/>
            <w:u w:val="single"/>
            <w:lang w:val="en-US" w:eastAsia="fr-FR"/>
          </w:rPr>
          <w:t>translation</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pp. 40-65</w:t>
        </w:r>
      </w:hyperlink>
      <w:r w:rsidRPr="00D56422">
        <w:rPr>
          <w:rFonts w:cs="Arial"/>
          <w:color w:val="333333"/>
          <w:sz w:val="20"/>
          <w:szCs w:val="20"/>
          <w:lang w:val="en-US" w:eastAsia="fr-FR"/>
        </w:rPr>
        <w:t>; </w:t>
      </w:r>
      <w:hyperlink r:id="rId39" w:history="1">
        <w:r w:rsidRPr="00D56422">
          <w:rPr>
            <w:rFonts w:cs="Arial"/>
            <w:color w:val="0782C1"/>
            <w:sz w:val="20"/>
            <w:szCs w:val="20"/>
            <w:u w:val="single"/>
            <w:lang w:val="en-US" w:eastAsia="fr-FR"/>
          </w:rPr>
          <w:t>vide</w:t>
        </w:r>
        <w:r w:rsidRPr="00D56422">
          <w:rPr>
            <w:rFonts w:cs="Arial"/>
            <w:color w:val="0782C1"/>
            <w:sz w:val="20"/>
            <w:szCs w:val="20"/>
            <w:u w:val="single"/>
            <w:lang w:val="en-US" w:eastAsia="fr-FR"/>
          </w:rPr>
          <w:t>o</w:t>
        </w:r>
        <w:r w:rsidRPr="00D56422">
          <w:rPr>
            <w:rFonts w:cs="Arial"/>
            <w:color w:val="0782C1"/>
            <w:sz w:val="20"/>
            <w:szCs w:val="20"/>
            <w:u w:val="single"/>
            <w:lang w:val="en-US" w:eastAsia="fr-FR"/>
          </w:rPr>
          <w:t xml:space="preserve"> public hearings at 00:01':58"</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2013</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Internationational Court of Justice, The Hague, 6 november 2013, </w:t>
      </w:r>
      <w:r w:rsidRPr="00D56422">
        <w:rPr>
          <w:rFonts w:cs="Arial"/>
          <w:i/>
          <w:iCs/>
          <w:color w:val="333333"/>
          <w:sz w:val="20"/>
          <w:szCs w:val="20"/>
          <w:lang w:val="en-US" w:eastAsia="fr-FR"/>
        </w:rPr>
        <w:t>Construction of a Road in Costa Rica along the San Juan River (Nicaragua v. Costa Rica)</w:t>
      </w:r>
      <w:r w:rsidRPr="00D56422">
        <w:rPr>
          <w:rFonts w:cs="Arial"/>
          <w:color w:val="333333"/>
          <w:sz w:val="20"/>
          <w:szCs w:val="20"/>
          <w:lang w:val="en-US" w:eastAsia="fr-FR"/>
        </w:rPr>
        <w:t>, pleadings: “Une demande opportuniste et totalement injustifiée” (translation: "An Opportunistic and Totally Unjustified Request") (CR 2013/29,  </w:t>
      </w:r>
      <w:hyperlink r:id="rId40" w:history="1">
        <w:r w:rsidRPr="00D56422">
          <w:rPr>
            <w:rFonts w:cs="Arial"/>
            <w:color w:val="0782C1"/>
            <w:sz w:val="20"/>
            <w:szCs w:val="20"/>
            <w:u w:val="single"/>
            <w:lang w:val="en-US" w:eastAsia="fr-FR"/>
          </w:rPr>
          <w:t>original: pp. 42-</w:t>
        </w:r>
        <w:r w:rsidRPr="00D56422">
          <w:rPr>
            <w:rFonts w:cs="Arial"/>
            <w:color w:val="0782C1"/>
            <w:sz w:val="20"/>
            <w:szCs w:val="20"/>
            <w:u w:val="single"/>
            <w:lang w:val="en-US" w:eastAsia="fr-FR"/>
          </w:rPr>
          <w:t>5</w:t>
        </w:r>
        <w:r w:rsidRPr="00D56422">
          <w:rPr>
            <w:rFonts w:cs="Arial"/>
            <w:color w:val="0782C1"/>
            <w:sz w:val="20"/>
            <w:szCs w:val="20"/>
            <w:u w:val="single"/>
            <w:lang w:val="en-US" w:eastAsia="fr-FR"/>
          </w:rPr>
          <w:t>4</w:t>
        </w:r>
      </w:hyperlink>
      <w:r w:rsidRPr="00D56422">
        <w:rPr>
          <w:rFonts w:cs="Arial"/>
          <w:color w:val="333333"/>
          <w:sz w:val="20"/>
          <w:szCs w:val="20"/>
          <w:lang w:val="en-US" w:eastAsia="fr-FR"/>
        </w:rPr>
        <w:t>; </w:t>
      </w:r>
      <w:hyperlink r:id="rId41" w:history="1">
        <w:r w:rsidRPr="00D56422">
          <w:rPr>
            <w:rFonts w:cs="Arial"/>
            <w:color w:val="0782C1"/>
            <w:sz w:val="20"/>
            <w:szCs w:val="20"/>
            <w:u w:val="single"/>
            <w:lang w:val="en-US" w:eastAsia="fr-FR"/>
          </w:rPr>
          <w:t>transl</w:t>
        </w:r>
        <w:r w:rsidRPr="00D56422">
          <w:rPr>
            <w:rFonts w:cs="Arial"/>
            <w:color w:val="0782C1"/>
            <w:sz w:val="20"/>
            <w:szCs w:val="20"/>
            <w:u w:val="single"/>
            <w:lang w:val="en-US" w:eastAsia="fr-FR"/>
          </w:rPr>
          <w:t>a</w:t>
        </w:r>
        <w:r w:rsidRPr="00D56422">
          <w:rPr>
            <w:rFonts w:cs="Arial"/>
            <w:color w:val="0782C1"/>
            <w:sz w:val="20"/>
            <w:szCs w:val="20"/>
            <w:u w:val="single"/>
            <w:lang w:val="en-US" w:eastAsia="fr-FR"/>
          </w:rPr>
          <w:t>tion: 41-52</w:t>
        </w:r>
      </w:hyperlink>
      <w:r w:rsidRPr="00D56422">
        <w:rPr>
          <w:rFonts w:cs="Arial"/>
          <w:color w:val="333333"/>
          <w:sz w:val="20"/>
          <w:szCs w:val="20"/>
          <w:lang w:val="en-US" w:eastAsia="fr-FR"/>
        </w:rPr>
        <w:t>; </w:t>
      </w:r>
      <w:hyperlink r:id="rId42" w:history="1">
        <w:r w:rsidRPr="00D56422">
          <w:rPr>
            <w:rFonts w:cs="Arial"/>
            <w:color w:val="0782C1"/>
            <w:sz w:val="20"/>
            <w:szCs w:val="20"/>
            <w:u w:val="single"/>
            <w:lang w:val="en-US" w:eastAsia="fr-FR"/>
          </w:rPr>
          <w:t>video pu</w:t>
        </w:r>
        <w:r w:rsidRPr="00D56422">
          <w:rPr>
            <w:rFonts w:cs="Arial"/>
            <w:color w:val="0782C1"/>
            <w:sz w:val="20"/>
            <w:szCs w:val="20"/>
            <w:u w:val="single"/>
            <w:lang w:val="en-US" w:eastAsia="fr-FR"/>
          </w:rPr>
          <w:t>b</w:t>
        </w:r>
        <w:r w:rsidRPr="00D56422">
          <w:rPr>
            <w:rFonts w:cs="Arial"/>
            <w:color w:val="0782C1"/>
            <w:sz w:val="20"/>
            <w:szCs w:val="20"/>
            <w:u w:val="single"/>
            <w:lang w:val="en-US" w:eastAsia="fr-FR"/>
          </w:rPr>
          <w:t>lic hearings at 2:25':31"</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17 October 2013, </w:t>
      </w:r>
      <w:r w:rsidRPr="00D56422">
        <w:rPr>
          <w:rFonts w:cs="Arial"/>
          <w:i/>
          <w:iCs/>
          <w:color w:val="333333"/>
          <w:sz w:val="20"/>
          <w:szCs w:val="20"/>
          <w:lang w:val="en-US" w:eastAsia="fr-FR"/>
        </w:rPr>
        <w:t>Certain Activities carried out by Nicaragua in the Border Area (Costa Rica v. Nicaragua)</w:t>
      </w:r>
      <w:r w:rsidRPr="00D56422">
        <w:rPr>
          <w:rFonts w:cs="Arial"/>
          <w:color w:val="333333"/>
          <w:sz w:val="20"/>
          <w:szCs w:val="20"/>
          <w:lang w:val="en-US" w:eastAsia="fr-FR"/>
        </w:rPr>
        <w:t>, "Comment on answers provided by Nicaragua to questions from Members of the Court" (CR 2013/27, </w:t>
      </w:r>
      <w:hyperlink r:id="rId43" w:history="1">
        <w:r w:rsidRPr="00D56422">
          <w:rPr>
            <w:rFonts w:cs="Arial"/>
            <w:color w:val="0782C1"/>
            <w:sz w:val="20"/>
            <w:szCs w:val="20"/>
            <w:u w:val="single"/>
            <w:lang w:val="en-US" w:eastAsia="fr-FR"/>
          </w:rPr>
          <w:t>ori</w:t>
        </w:r>
        <w:r w:rsidRPr="00D56422">
          <w:rPr>
            <w:rFonts w:cs="Arial"/>
            <w:color w:val="0782C1"/>
            <w:sz w:val="20"/>
            <w:szCs w:val="20"/>
            <w:u w:val="single"/>
            <w:lang w:val="en-US" w:eastAsia="fr-FR"/>
          </w:rPr>
          <w:t>g</w:t>
        </w:r>
        <w:r w:rsidRPr="00D56422">
          <w:rPr>
            <w:rFonts w:cs="Arial"/>
            <w:color w:val="0782C1"/>
            <w:sz w:val="20"/>
            <w:szCs w:val="20"/>
            <w:u w:val="single"/>
            <w:lang w:val="en-US" w:eastAsia="fr-FR"/>
          </w:rPr>
          <w:t>inal: pp.41-44</w:t>
        </w:r>
      </w:hyperlink>
      <w:r w:rsidRPr="00D56422">
        <w:rPr>
          <w:rFonts w:cs="Arial"/>
          <w:color w:val="333333"/>
          <w:sz w:val="20"/>
          <w:szCs w:val="20"/>
          <w:lang w:val="en-US" w:eastAsia="fr-FR"/>
        </w:rPr>
        <w:t>; </w:t>
      </w:r>
      <w:hyperlink r:id="rId44" w:history="1">
        <w:r w:rsidRPr="00D56422">
          <w:rPr>
            <w:rFonts w:cs="Arial"/>
            <w:color w:val="0782C1"/>
            <w:sz w:val="20"/>
            <w:szCs w:val="20"/>
            <w:u w:val="single"/>
            <w:lang w:val="en-US" w:eastAsia="fr-FR"/>
          </w:rPr>
          <w:t>trans</w:t>
        </w:r>
        <w:r w:rsidRPr="00D56422">
          <w:rPr>
            <w:rFonts w:cs="Arial"/>
            <w:color w:val="0782C1"/>
            <w:sz w:val="20"/>
            <w:szCs w:val="20"/>
            <w:u w:val="single"/>
            <w:lang w:val="en-US" w:eastAsia="fr-FR"/>
          </w:rPr>
          <w:t>l</w:t>
        </w:r>
        <w:r w:rsidRPr="00D56422">
          <w:rPr>
            <w:rFonts w:cs="Arial"/>
            <w:color w:val="0782C1"/>
            <w:sz w:val="20"/>
            <w:szCs w:val="20"/>
            <w:u w:val="single"/>
            <w:lang w:val="en-US" w:eastAsia="fr-FR"/>
          </w:rPr>
          <w:t>ation: pp. 3</w:t>
        </w:r>
        <w:r w:rsidRPr="00D56422">
          <w:rPr>
            <w:rFonts w:cs="Arial"/>
            <w:color w:val="0782C1"/>
            <w:sz w:val="20"/>
            <w:szCs w:val="20"/>
            <w:u w:val="single"/>
            <w:lang w:val="en-US" w:eastAsia="fr-FR"/>
          </w:rPr>
          <w:t>7</w:t>
        </w:r>
        <w:r w:rsidRPr="00D56422">
          <w:rPr>
            <w:rFonts w:cs="Arial"/>
            <w:color w:val="0782C1"/>
            <w:sz w:val="20"/>
            <w:szCs w:val="20"/>
            <w:u w:val="single"/>
            <w:lang w:val="en-US" w:eastAsia="fr-FR"/>
          </w:rPr>
          <w:t>-40</w:t>
        </w:r>
      </w:hyperlink>
      <w:r w:rsidRPr="00D56422">
        <w:rPr>
          <w:rFonts w:cs="Arial"/>
          <w:color w:val="333333"/>
          <w:sz w:val="20"/>
          <w:szCs w:val="20"/>
          <w:lang w:val="en-US" w:eastAsia="fr-FR"/>
        </w:rPr>
        <w:t>; </w:t>
      </w:r>
      <w:hyperlink r:id="rId45" w:history="1">
        <w:r w:rsidRPr="00D56422">
          <w:rPr>
            <w:rFonts w:cs="Arial"/>
            <w:color w:val="0782C1"/>
            <w:sz w:val="20"/>
            <w:szCs w:val="20"/>
            <w:u w:val="single"/>
            <w:lang w:val="en-US" w:eastAsia="fr-FR"/>
          </w:rPr>
          <w:t>vid</w:t>
        </w:r>
        <w:r w:rsidRPr="00D56422">
          <w:rPr>
            <w:rFonts w:cs="Arial"/>
            <w:color w:val="0782C1"/>
            <w:sz w:val="20"/>
            <w:szCs w:val="20"/>
            <w:u w:val="single"/>
            <w:lang w:val="en-US" w:eastAsia="fr-FR"/>
          </w:rPr>
          <w:t>e</w:t>
        </w:r>
        <w:r w:rsidRPr="00D56422">
          <w:rPr>
            <w:rFonts w:cs="Arial"/>
            <w:color w:val="0782C1"/>
            <w:sz w:val="20"/>
            <w:szCs w:val="20"/>
            <w:u w:val="single"/>
            <w:lang w:val="en-US" w:eastAsia="fr-FR"/>
          </w:rPr>
          <w:t>o public hearing at 1:45':10"</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16 October 2013,  </w:t>
      </w:r>
      <w:r w:rsidRPr="00D56422">
        <w:rPr>
          <w:rFonts w:cs="Arial"/>
          <w:i/>
          <w:iCs/>
          <w:color w:val="333333"/>
          <w:sz w:val="20"/>
          <w:szCs w:val="20"/>
          <w:lang w:val="en-US" w:eastAsia="fr-FR"/>
        </w:rPr>
        <w:t>Certain Activities carried out by Nicaragua in the Border Area (Costa Rica v. Nicaragua)</w:t>
      </w:r>
      <w:r w:rsidRPr="00D56422">
        <w:rPr>
          <w:rFonts w:cs="Arial"/>
          <w:color w:val="333333"/>
          <w:sz w:val="20"/>
          <w:szCs w:val="20"/>
          <w:lang w:val="en-US" w:eastAsia="fr-FR"/>
        </w:rPr>
        <w:t>, pleadings: “Les observations orales du Nicaragua renforcent le besoin d’indiquer les mesures conservatoires demandées” (translation: "Nicaragua's Oral Observations Reinforce the Need for the Provisional Measures Requested") (CR 2013/26, </w:t>
      </w:r>
      <w:hyperlink r:id="rId46" w:history="1">
        <w:r w:rsidRPr="00D56422">
          <w:rPr>
            <w:rFonts w:cs="Arial"/>
            <w:color w:val="0782C1"/>
            <w:sz w:val="20"/>
            <w:szCs w:val="20"/>
            <w:u w:val="single"/>
            <w:lang w:val="en-US" w:eastAsia="fr-FR"/>
          </w:rPr>
          <w:t>original: pp</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24-34</w:t>
        </w:r>
      </w:hyperlink>
      <w:r w:rsidRPr="00D56422">
        <w:rPr>
          <w:rFonts w:cs="Arial"/>
          <w:color w:val="333333"/>
          <w:sz w:val="20"/>
          <w:szCs w:val="20"/>
          <w:lang w:val="en-US" w:eastAsia="fr-FR"/>
        </w:rPr>
        <w:t>; </w:t>
      </w:r>
      <w:hyperlink r:id="rId47" w:history="1">
        <w:r w:rsidRPr="00D56422">
          <w:rPr>
            <w:rFonts w:cs="Arial"/>
            <w:color w:val="0782C1"/>
            <w:sz w:val="20"/>
            <w:szCs w:val="20"/>
            <w:u w:val="single"/>
            <w:lang w:val="en-US" w:eastAsia="fr-FR"/>
          </w:rPr>
          <w:t>translatio</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 20-34</w:t>
        </w:r>
      </w:hyperlink>
      <w:r w:rsidRPr="00D56422">
        <w:rPr>
          <w:rFonts w:cs="Arial"/>
          <w:color w:val="333333"/>
          <w:sz w:val="20"/>
          <w:szCs w:val="20"/>
          <w:lang w:val="en-US" w:eastAsia="fr-FR"/>
        </w:rPr>
        <w:t>; </w:t>
      </w:r>
      <w:hyperlink r:id="rId48" w:history="1">
        <w:r w:rsidRPr="00D56422">
          <w:rPr>
            <w:rFonts w:cs="Arial"/>
            <w:color w:val="0782C1"/>
            <w:sz w:val="20"/>
            <w:szCs w:val="20"/>
            <w:u w:val="single"/>
            <w:lang w:val="en-US" w:eastAsia="fr-FR"/>
          </w:rPr>
          <w:t>video pu</w:t>
        </w:r>
        <w:r w:rsidRPr="00D56422">
          <w:rPr>
            <w:rFonts w:cs="Arial"/>
            <w:color w:val="0782C1"/>
            <w:sz w:val="20"/>
            <w:szCs w:val="20"/>
            <w:u w:val="single"/>
            <w:lang w:val="en-US" w:eastAsia="fr-FR"/>
          </w:rPr>
          <w:t>b</w:t>
        </w:r>
        <w:r w:rsidRPr="00D56422">
          <w:rPr>
            <w:rFonts w:cs="Arial"/>
            <w:color w:val="0782C1"/>
            <w:sz w:val="20"/>
            <w:szCs w:val="20"/>
            <w:u w:val="single"/>
            <w:lang w:val="en-US" w:eastAsia="fr-FR"/>
          </w:rPr>
          <w:t>lic hearings at 41':15"</w:t>
        </w:r>
      </w:hyperlink>
      <w:r w:rsidRPr="00D56422">
        <w:rPr>
          <w:rFonts w:cs="Arial"/>
          <w:color w:val="333333"/>
          <w:sz w:val="20"/>
          <w:szCs w:val="20"/>
          <w:lang w:val="en-US" w:eastAsia="fr-FR"/>
        </w:rPr>
        <w:t>).</w:t>
      </w: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p>
    <w:p w:rsidR="00D56422" w:rsidRPr="00D56422" w:rsidRDefault="00D56422" w:rsidP="00D56422">
      <w:pPr>
        <w:spacing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14 October 2013, </w:t>
      </w:r>
      <w:r w:rsidRPr="00D56422">
        <w:rPr>
          <w:rFonts w:cs="Arial"/>
          <w:i/>
          <w:iCs/>
          <w:color w:val="333333"/>
          <w:sz w:val="20"/>
          <w:szCs w:val="20"/>
          <w:lang w:val="en-US" w:eastAsia="fr-FR"/>
        </w:rPr>
        <w:t>Certain Activities carried out by Nicaragua in the Border Area (Costa Rica v. Nicaragua)</w:t>
      </w:r>
      <w:r w:rsidRPr="00D56422">
        <w:rPr>
          <w:rFonts w:cs="Arial"/>
          <w:color w:val="333333"/>
          <w:sz w:val="20"/>
          <w:szCs w:val="20"/>
          <w:lang w:val="en-US" w:eastAsia="fr-FR"/>
        </w:rPr>
        <w:t>, pleadings: “Les consequences découlant d’une hypothétique refus d’indiquer des mesures conservatoires” (translation: "The Consequences of a Hypothetical Refusal to Indicate Provisional Measures") (CR 2013/24,  </w:t>
      </w:r>
      <w:hyperlink r:id="rId49" w:history="1">
        <w:r w:rsidRPr="00D56422">
          <w:rPr>
            <w:rFonts w:cs="Arial"/>
            <w:color w:val="0782C1"/>
            <w:sz w:val="20"/>
            <w:szCs w:val="20"/>
            <w:u w:val="single"/>
            <w:lang w:val="en-US" w:eastAsia="fr-FR"/>
          </w:rPr>
          <w:t>original: pp.4</w:t>
        </w:r>
        <w:r w:rsidRPr="00D56422">
          <w:rPr>
            <w:rFonts w:cs="Arial"/>
            <w:color w:val="0782C1"/>
            <w:sz w:val="20"/>
            <w:szCs w:val="20"/>
            <w:u w:val="single"/>
            <w:lang w:val="en-US" w:eastAsia="fr-FR"/>
          </w:rPr>
          <w:t>7</w:t>
        </w:r>
        <w:r w:rsidRPr="00D56422">
          <w:rPr>
            <w:rFonts w:cs="Arial"/>
            <w:color w:val="0782C1"/>
            <w:sz w:val="20"/>
            <w:szCs w:val="20"/>
            <w:u w:val="single"/>
            <w:lang w:val="en-US" w:eastAsia="fr-FR"/>
          </w:rPr>
          <w:t>-61</w:t>
        </w:r>
      </w:hyperlink>
      <w:r w:rsidRPr="00D56422">
        <w:rPr>
          <w:rFonts w:cs="Arial"/>
          <w:color w:val="333333"/>
          <w:sz w:val="20"/>
          <w:szCs w:val="20"/>
          <w:lang w:val="en-US" w:eastAsia="fr-FR"/>
        </w:rPr>
        <w:t>; </w:t>
      </w:r>
      <w:hyperlink r:id="rId50" w:history="1">
        <w:r w:rsidRPr="00D56422">
          <w:rPr>
            <w:rFonts w:cs="Arial"/>
            <w:color w:val="0782C1"/>
            <w:sz w:val="20"/>
            <w:szCs w:val="20"/>
            <w:u w:val="single"/>
            <w:lang w:val="en-US" w:eastAsia="fr-FR"/>
          </w:rPr>
          <w:t>translatio</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 pp.43-57</w:t>
        </w:r>
      </w:hyperlink>
      <w:r w:rsidRPr="00D56422">
        <w:rPr>
          <w:rFonts w:cs="Arial"/>
          <w:color w:val="333333"/>
          <w:sz w:val="20"/>
          <w:szCs w:val="20"/>
          <w:lang w:val="en-US" w:eastAsia="fr-FR"/>
        </w:rPr>
        <w:t>; </w:t>
      </w:r>
      <w:hyperlink r:id="rId51" w:history="1">
        <w:r w:rsidRPr="00D56422">
          <w:rPr>
            <w:rFonts w:cs="Arial"/>
            <w:color w:val="0782C1"/>
            <w:sz w:val="20"/>
            <w:szCs w:val="20"/>
            <w:u w:val="single"/>
            <w:lang w:val="en-US" w:eastAsia="fr-FR"/>
          </w:rPr>
          <w:t xml:space="preserve">video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ublic hearings at 2:29':10"</w:t>
        </w:r>
      </w:hyperlink>
      <w:r w:rsidRPr="00D56422">
        <w:rPr>
          <w:rFonts w:cs="Arial"/>
          <w:color w:val="333333"/>
          <w:sz w:val="20"/>
          <w:szCs w:val="20"/>
          <w:lang w:val="en-US" w:eastAsia="fr-FR"/>
        </w:rPr>
        <w:t>).</w:t>
      </w:r>
    </w:p>
    <w:p w:rsidR="00D56422" w:rsidRPr="00D56422" w:rsidRDefault="00D56422" w:rsidP="00D56422">
      <w:pPr>
        <w:spacing w:line="240" w:lineRule="auto"/>
        <w:rPr>
          <w:rFonts w:cs="Arial"/>
          <w:color w:val="333333"/>
          <w:sz w:val="20"/>
          <w:szCs w:val="20"/>
          <w:lang w:val="en-US" w:eastAsia="fr-FR"/>
        </w:rPr>
      </w:pPr>
    </w:p>
    <w:p w:rsidR="00D56422" w:rsidRPr="00D56422" w:rsidRDefault="00D56422" w:rsidP="00D56422">
      <w:pPr>
        <w:spacing w:before="100" w:beforeAutospacing="1" w:after="240" w:line="240" w:lineRule="auto"/>
        <w:jc w:val="both"/>
        <w:rPr>
          <w:rFonts w:cs="Arial"/>
          <w:color w:val="333333"/>
          <w:sz w:val="20"/>
          <w:szCs w:val="20"/>
          <w:lang w:val="en-US" w:eastAsia="fr-FR"/>
        </w:rPr>
      </w:pPr>
      <w:r w:rsidRPr="00D56422">
        <w:rPr>
          <w:rFonts w:cs="Arial"/>
          <w:color w:val="333333"/>
          <w:sz w:val="20"/>
          <w:szCs w:val="20"/>
          <w:lang w:val="en-US" w:eastAsia="fr-FR"/>
        </w:rPr>
        <w:t>2012</w:t>
      </w:r>
      <w:r w:rsidRPr="00D56422">
        <w:rPr>
          <w:rFonts w:cs="Arial"/>
          <w:color w:val="333333"/>
          <w:sz w:val="20"/>
          <w:szCs w:val="20"/>
          <w:lang w:val="en-US" w:eastAsia="fr-FR"/>
        </w:rPr>
        <w:br/>
      </w:r>
      <w:r w:rsidRPr="00D56422">
        <w:rPr>
          <w:rFonts w:cs="Arial"/>
          <w:color w:val="333333"/>
          <w:sz w:val="20"/>
          <w:szCs w:val="20"/>
          <w:lang w:val="en-US" w:eastAsia="fr-FR"/>
        </w:rPr>
        <w:br/>
        <w:t>-International Tribunal for the Law of the Sea, Hamburg, 29 November 2012 The “ARA Libertad” Case (Argentina v. Ghana), Case No. 20, Counsel and Advocate for Agentina (ITLOS PV C20 Verbatim Record, </w:t>
      </w:r>
      <w:hyperlink r:id="rId52" w:history="1">
        <w:r w:rsidRPr="00D56422">
          <w:rPr>
            <w:rFonts w:cs="Arial"/>
            <w:color w:val="0782C1"/>
            <w:sz w:val="20"/>
            <w:szCs w:val="20"/>
            <w:u w:val="single"/>
            <w:lang w:val="en-US" w:eastAsia="fr-FR"/>
          </w:rPr>
          <w:t>origi</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a</w:t>
        </w:r>
        <w:r w:rsidRPr="00D56422">
          <w:rPr>
            <w:rFonts w:cs="Arial"/>
            <w:color w:val="0782C1"/>
            <w:sz w:val="20"/>
            <w:szCs w:val="20"/>
            <w:u w:val="single"/>
            <w:lang w:val="en-US" w:eastAsia="fr-FR"/>
          </w:rPr>
          <w:t>l:</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pp. 23-37</w:t>
        </w:r>
      </w:hyperlink>
      <w:r w:rsidRPr="00D56422">
        <w:rPr>
          <w:rFonts w:cs="Arial"/>
          <w:color w:val="333333"/>
          <w:sz w:val="20"/>
          <w:szCs w:val="20"/>
          <w:lang w:val="en-US" w:eastAsia="fr-FR"/>
        </w:rPr>
        <w:t> ; </w:t>
      </w:r>
      <w:hyperlink r:id="rId53" w:history="1">
        <w:r w:rsidRPr="00D56422">
          <w:rPr>
            <w:rFonts w:cs="Arial"/>
            <w:color w:val="0782C1"/>
            <w:sz w:val="20"/>
            <w:szCs w:val="20"/>
            <w:u w:val="single"/>
            <w:lang w:val="en-US" w:eastAsia="fr-FR"/>
          </w:rPr>
          <w:t>transla</w:t>
        </w:r>
        <w:r w:rsidRPr="00D56422">
          <w:rPr>
            <w:rFonts w:cs="Arial"/>
            <w:color w:val="0782C1"/>
            <w:sz w:val="20"/>
            <w:szCs w:val="20"/>
            <w:u w:val="single"/>
            <w:lang w:val="en-US" w:eastAsia="fr-FR"/>
          </w:rPr>
          <w:t>t</w:t>
        </w:r>
        <w:r w:rsidRPr="00D56422">
          <w:rPr>
            <w:rFonts w:cs="Arial"/>
            <w:color w:val="0782C1"/>
            <w:sz w:val="20"/>
            <w:szCs w:val="20"/>
            <w:u w:val="single"/>
            <w:lang w:val="en-US" w:eastAsia="fr-FR"/>
          </w:rPr>
          <w:t>ion: pp .21-35</w:t>
        </w:r>
      </w:hyperlink>
      <w:r w:rsidRPr="00D56422">
        <w:rPr>
          <w:rFonts w:cs="Arial"/>
          <w:color w:val="333333"/>
          <w:sz w:val="20"/>
          <w:szCs w:val="20"/>
          <w:lang w:val="en-US" w:eastAsia="fr-FR"/>
        </w:rPr>
        <w:t> ; </w:t>
      </w:r>
      <w:hyperlink r:id="rId54" w:history="1">
        <w:r w:rsidRPr="00D56422">
          <w:rPr>
            <w:rFonts w:cs="Arial"/>
            <w:color w:val="0782C1"/>
            <w:sz w:val="20"/>
            <w:szCs w:val="20"/>
            <w:u w:val="single"/>
            <w:lang w:val="en-US" w:eastAsia="fr-FR"/>
          </w:rPr>
          <w:t>vid</w:t>
        </w:r>
        <w:r w:rsidRPr="00D56422">
          <w:rPr>
            <w:rFonts w:cs="Arial"/>
            <w:color w:val="0782C1"/>
            <w:sz w:val="20"/>
            <w:szCs w:val="20"/>
            <w:u w:val="single"/>
            <w:lang w:val="en-US" w:eastAsia="fr-FR"/>
          </w:rPr>
          <w:t>e</w:t>
        </w:r>
        <w:r w:rsidRPr="00D56422">
          <w:rPr>
            <w:rFonts w:cs="Arial"/>
            <w:color w:val="0782C1"/>
            <w:sz w:val="20"/>
            <w:szCs w:val="20"/>
            <w:u w:val="single"/>
            <w:lang w:val="en-US" w:eastAsia="fr-FR"/>
          </w:rPr>
          <w:t>o public hearings</w:t>
        </w:r>
      </w:hyperlink>
      <w:r w:rsidRPr="00D56422">
        <w:rPr>
          <w:rFonts w:cs="Arial"/>
          <w:color w:val="333333"/>
          <w:sz w:val="20"/>
          <w:szCs w:val="20"/>
          <w:lang w:val="en-US" w:eastAsia="fr-FR"/>
        </w:rPr>
        <w:t>).</w:t>
      </w:r>
      <w:r w:rsidRPr="00D56422">
        <w:rPr>
          <w:rFonts w:cs="Arial"/>
          <w:color w:val="333333"/>
          <w:sz w:val="20"/>
          <w:szCs w:val="20"/>
          <w:lang w:val="en-US" w:eastAsia="fr-FR"/>
        </w:rPr>
        <w:br/>
      </w:r>
    </w:p>
    <w:p w:rsidR="00D56422" w:rsidRPr="00D56422" w:rsidRDefault="00D56422" w:rsidP="00D56422">
      <w:pPr>
        <w:spacing w:before="100" w:beforeAutospacing="1" w:after="240" w:line="240" w:lineRule="auto"/>
        <w:jc w:val="both"/>
        <w:rPr>
          <w:rFonts w:cs="Arial"/>
          <w:color w:val="333333"/>
          <w:sz w:val="20"/>
          <w:szCs w:val="20"/>
          <w:lang w:val="en-US" w:eastAsia="fr-FR"/>
        </w:rPr>
      </w:pPr>
      <w:r w:rsidRPr="00D56422">
        <w:rPr>
          <w:rFonts w:cs="Arial"/>
          <w:color w:val="333333"/>
          <w:sz w:val="20"/>
          <w:szCs w:val="20"/>
          <w:lang w:val="en-US" w:eastAsia="fr-FR"/>
        </w:rPr>
        <w:t>-International Tribunal for the Law of the Sea, Hamburg, 30 November 2012 The “ARA Libertad” Case (Argentina v. Ghana), Case No. 20, Counsel and Advocate for Agentina (ITLOS PV C20 Verbatim Record, </w:t>
      </w:r>
      <w:hyperlink r:id="rId55" w:history="1">
        <w:r w:rsidRPr="00D56422">
          <w:rPr>
            <w:rFonts w:cs="Arial"/>
            <w:color w:val="0782C1"/>
            <w:sz w:val="20"/>
            <w:szCs w:val="20"/>
            <w:u w:val="single"/>
            <w:lang w:val="en-US" w:eastAsia="fr-FR"/>
          </w:rPr>
          <w:t>or</w:t>
        </w:r>
        <w:r w:rsidRPr="00D56422">
          <w:rPr>
            <w:rFonts w:cs="Arial"/>
            <w:color w:val="0782C1"/>
            <w:sz w:val="20"/>
            <w:szCs w:val="20"/>
            <w:u w:val="single"/>
            <w:lang w:val="en-US" w:eastAsia="fr-FR"/>
          </w:rPr>
          <w:t>i</w:t>
        </w:r>
        <w:r w:rsidRPr="00D56422">
          <w:rPr>
            <w:rFonts w:cs="Arial"/>
            <w:color w:val="0782C1"/>
            <w:sz w:val="20"/>
            <w:szCs w:val="20"/>
            <w:u w:val="single"/>
            <w:lang w:val="en-US" w:eastAsia="fr-FR"/>
          </w:rPr>
          <w:t>gin</w:t>
        </w:r>
        <w:r w:rsidRPr="00D56422">
          <w:rPr>
            <w:rFonts w:cs="Arial"/>
            <w:color w:val="0782C1"/>
            <w:sz w:val="20"/>
            <w:szCs w:val="20"/>
            <w:u w:val="single"/>
            <w:lang w:val="en-US" w:eastAsia="fr-FR"/>
          </w:rPr>
          <w:t>a</w:t>
        </w:r>
        <w:r w:rsidRPr="00D56422">
          <w:rPr>
            <w:rFonts w:cs="Arial"/>
            <w:color w:val="0782C1"/>
            <w:sz w:val="20"/>
            <w:szCs w:val="20"/>
            <w:u w:val="single"/>
            <w:lang w:val="en-US" w:eastAsia="fr-FR"/>
          </w:rPr>
          <w:t>l:</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pp</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7-14</w:t>
        </w:r>
      </w:hyperlink>
      <w:r w:rsidRPr="00D56422">
        <w:rPr>
          <w:rFonts w:cs="Arial"/>
          <w:color w:val="333333"/>
          <w:sz w:val="20"/>
          <w:szCs w:val="20"/>
          <w:lang w:val="en-US" w:eastAsia="fr-FR"/>
        </w:rPr>
        <w:t> ; translation: </w:t>
      </w:r>
      <w:hyperlink r:id="rId56" w:history="1">
        <w:r w:rsidRPr="00D56422">
          <w:rPr>
            <w:rFonts w:cs="Arial"/>
            <w:color w:val="0782C1"/>
            <w:sz w:val="20"/>
            <w:szCs w:val="20"/>
            <w:u w:val="single"/>
            <w:lang w:val="en-US" w:eastAsia="fr-FR"/>
          </w:rPr>
          <w:t>p</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7</w:t>
        </w:r>
        <w:r w:rsidRPr="00D56422">
          <w:rPr>
            <w:rFonts w:cs="Arial"/>
            <w:color w:val="0782C1"/>
            <w:sz w:val="20"/>
            <w:szCs w:val="20"/>
            <w:u w:val="single"/>
            <w:lang w:val="en-US" w:eastAsia="fr-FR"/>
          </w:rPr>
          <w:t>-13</w:t>
        </w:r>
      </w:hyperlink>
      <w:r w:rsidRPr="00D56422">
        <w:rPr>
          <w:rFonts w:cs="Arial"/>
          <w:color w:val="333333"/>
          <w:sz w:val="20"/>
          <w:szCs w:val="20"/>
          <w:lang w:val="en-US" w:eastAsia="fr-FR"/>
        </w:rPr>
        <w:t> ; </w:t>
      </w:r>
      <w:hyperlink r:id="rId57" w:history="1">
        <w:r w:rsidRPr="00D56422">
          <w:rPr>
            <w:rFonts w:cs="Arial"/>
            <w:color w:val="0782C1"/>
            <w:sz w:val="20"/>
            <w:szCs w:val="20"/>
            <w:u w:val="single"/>
            <w:lang w:val="en-US" w:eastAsia="fr-FR"/>
          </w:rPr>
          <w:t>vide</w:t>
        </w:r>
        <w:r w:rsidRPr="00D56422">
          <w:rPr>
            <w:rFonts w:cs="Arial"/>
            <w:color w:val="0782C1"/>
            <w:sz w:val="20"/>
            <w:szCs w:val="20"/>
            <w:u w:val="single"/>
            <w:lang w:val="en-US" w:eastAsia="fr-FR"/>
          </w:rPr>
          <w:t>o</w:t>
        </w:r>
        <w:r w:rsidRPr="00D56422">
          <w:rPr>
            <w:rFonts w:cs="Arial"/>
            <w:color w:val="0782C1"/>
            <w:sz w:val="20"/>
            <w:szCs w:val="20"/>
            <w:u w:val="single"/>
            <w:lang w:val="en-US" w:eastAsia="fr-FR"/>
          </w:rPr>
          <w:t xml:space="preserve"> public hearings</w:t>
        </w:r>
      </w:hyperlink>
      <w:r w:rsidRPr="00D56422">
        <w:rPr>
          <w:rFonts w:cs="Arial"/>
          <w:color w:val="333333"/>
          <w:sz w:val="20"/>
          <w:szCs w:val="20"/>
          <w:lang w:val="en-US" w:eastAsia="fr-FR"/>
        </w:rPr>
        <w:t>).</w:t>
      </w: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4 May 2012, </w:t>
      </w:r>
      <w:r w:rsidRPr="00D56422">
        <w:rPr>
          <w:rFonts w:cs="Arial"/>
          <w:i/>
          <w:iCs/>
          <w:color w:val="333333"/>
          <w:sz w:val="20"/>
          <w:szCs w:val="20"/>
          <w:lang w:val="en-US" w:eastAsia="fr-FR"/>
        </w:rPr>
        <w:t>Case concerning The Territorial and Maritime Dispute (Nicaragua v. Colombia)</w:t>
      </w:r>
      <w:r w:rsidRPr="00D56422">
        <w:rPr>
          <w:rFonts w:cs="Arial"/>
          <w:color w:val="333333"/>
          <w:sz w:val="20"/>
          <w:szCs w:val="20"/>
          <w:lang w:val="en-US" w:eastAsia="fr-FR"/>
        </w:rPr>
        <w:t xml:space="preserve">, Counsel and Advocate for Colombia, pleadings: "L’incapacité du Nicaragua d’articuler une justification pour sa revendication artificielle des </w:t>
      </w:r>
      <w:r w:rsidRPr="00D56422">
        <w:rPr>
          <w:rFonts w:cs="Arial"/>
          <w:color w:val="333333"/>
          <w:sz w:val="20"/>
          <w:szCs w:val="20"/>
          <w:lang w:val="en-US" w:eastAsia="fr-FR"/>
        </w:rPr>
        <w:lastRenderedPageBreak/>
        <w:t>cayes" (translation: "Nicaragua’s Inability to Provide any Justification for its Artificial Claim to the Cays") (CR 2012/16, </w:t>
      </w:r>
      <w:hyperlink r:id="rId58" w:history="1">
        <w:r w:rsidRPr="00D56422">
          <w:rPr>
            <w:rFonts w:cs="Arial"/>
            <w:color w:val="0782C1"/>
            <w:sz w:val="20"/>
            <w:szCs w:val="20"/>
            <w:u w:val="single"/>
            <w:lang w:val="en-US" w:eastAsia="fr-FR"/>
          </w:rPr>
          <w:t xml:space="preserve">original: pp. </w:t>
        </w:r>
        <w:r w:rsidRPr="00D56422">
          <w:rPr>
            <w:rFonts w:cs="Arial"/>
            <w:color w:val="0782C1"/>
            <w:sz w:val="20"/>
            <w:szCs w:val="20"/>
            <w:u w:val="single"/>
            <w:lang w:val="en-US" w:eastAsia="fr-FR"/>
          </w:rPr>
          <w:t>1</w:t>
        </w:r>
        <w:r w:rsidRPr="00D56422">
          <w:rPr>
            <w:rFonts w:cs="Arial"/>
            <w:color w:val="0782C1"/>
            <w:sz w:val="20"/>
            <w:szCs w:val="20"/>
            <w:u w:val="single"/>
            <w:lang w:val="en-US" w:eastAsia="fr-FR"/>
          </w:rPr>
          <w:t>7</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33</w:t>
        </w:r>
      </w:hyperlink>
      <w:r w:rsidRPr="00D56422">
        <w:rPr>
          <w:rFonts w:cs="Arial"/>
          <w:color w:val="333333"/>
          <w:sz w:val="20"/>
          <w:szCs w:val="20"/>
          <w:lang w:val="en-US" w:eastAsia="fr-FR"/>
        </w:rPr>
        <w:t>; </w:t>
      </w:r>
      <w:hyperlink r:id="rId59" w:history="1">
        <w:r w:rsidRPr="00D56422">
          <w:rPr>
            <w:rFonts w:cs="Arial"/>
            <w:color w:val="0782C1"/>
            <w:sz w:val="20"/>
            <w:szCs w:val="20"/>
            <w:u w:val="single"/>
            <w:lang w:val="en-US" w:eastAsia="fr-FR"/>
          </w:rPr>
          <w:t>transla</w:t>
        </w:r>
        <w:r w:rsidRPr="00D56422">
          <w:rPr>
            <w:rFonts w:cs="Arial"/>
            <w:color w:val="0782C1"/>
            <w:sz w:val="20"/>
            <w:szCs w:val="20"/>
            <w:u w:val="single"/>
            <w:lang w:val="en-US" w:eastAsia="fr-FR"/>
          </w:rPr>
          <w:t>t</w:t>
        </w:r>
        <w:r w:rsidRPr="00D56422">
          <w:rPr>
            <w:rFonts w:cs="Arial"/>
            <w:color w:val="0782C1"/>
            <w:sz w:val="20"/>
            <w:szCs w:val="20"/>
            <w:u w:val="single"/>
            <w:lang w:val="en-US" w:eastAsia="fr-FR"/>
          </w:rPr>
          <w:t>ion: pp</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9-26</w:t>
        </w:r>
      </w:hyperlink>
      <w:r w:rsidRPr="00D56422">
        <w:rPr>
          <w:rFonts w:cs="Arial"/>
          <w:color w:val="333333"/>
          <w:sz w:val="20"/>
          <w:szCs w:val="20"/>
          <w:lang w:val="en-US" w:eastAsia="fr-FR"/>
        </w:rPr>
        <w:t>; </w:t>
      </w:r>
      <w:hyperlink r:id="rId60" w:history="1">
        <w:r w:rsidRPr="00D56422">
          <w:rPr>
            <w:rFonts w:cs="Arial"/>
            <w:color w:val="0782C1"/>
            <w:sz w:val="20"/>
            <w:szCs w:val="20"/>
            <w:u w:val="single"/>
            <w:lang w:val="en-US" w:eastAsia="fr-FR"/>
          </w:rPr>
          <w:t>Video public he</w:t>
        </w:r>
        <w:r w:rsidRPr="00D56422">
          <w:rPr>
            <w:rFonts w:cs="Arial"/>
            <w:color w:val="0782C1"/>
            <w:sz w:val="20"/>
            <w:szCs w:val="20"/>
            <w:u w:val="single"/>
            <w:lang w:val="en-US" w:eastAsia="fr-FR"/>
          </w:rPr>
          <w:t>a</w:t>
        </w:r>
        <w:r w:rsidRPr="00D56422">
          <w:rPr>
            <w:rFonts w:cs="Arial"/>
            <w:color w:val="0782C1"/>
            <w:sz w:val="20"/>
            <w:szCs w:val="20"/>
            <w:u w:val="single"/>
            <w:lang w:val="en-US" w:eastAsia="fr-FR"/>
          </w:rPr>
          <w:t>rings 10 am - 1 pm (Part 1 of 2 ) at 42'12''</w:t>
        </w:r>
      </w:hyperlink>
      <w:r w:rsidRPr="00D56422">
        <w:rPr>
          <w:rFonts w:cs="Arial"/>
          <w:color w:val="333333"/>
          <w:sz w:val="20"/>
          <w:szCs w:val="20"/>
          <w:lang w:val="en-US" w:eastAsia="fr-FR"/>
        </w:rPr>
        <w:t>).</w:t>
      </w:r>
    </w:p>
    <w:p w:rsidR="00D56422" w:rsidRPr="00D56422" w:rsidRDefault="00D56422" w:rsidP="00D56422">
      <w:pPr>
        <w:spacing w:before="100" w:beforeAutospacing="1" w:after="100" w:afterAutospacing="1" w:line="240" w:lineRule="auto"/>
        <w:rPr>
          <w:rFonts w:cs="Arial"/>
          <w:color w:val="333333"/>
          <w:sz w:val="20"/>
          <w:szCs w:val="20"/>
          <w:lang w:val="en-US" w:eastAsia="fr-FR"/>
        </w:rPr>
      </w:pPr>
    </w:p>
    <w:p w:rsidR="00D56422" w:rsidRPr="00D56422" w:rsidRDefault="00D56422" w:rsidP="00D56422">
      <w:pPr>
        <w:spacing w:before="100" w:beforeAutospacing="1" w:after="240"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27 April 2012, </w:t>
      </w:r>
      <w:r w:rsidRPr="00D56422">
        <w:rPr>
          <w:rFonts w:cs="Arial"/>
          <w:i/>
          <w:iCs/>
          <w:color w:val="333333"/>
          <w:sz w:val="20"/>
          <w:szCs w:val="20"/>
          <w:lang w:val="en-US" w:eastAsia="fr-FR"/>
        </w:rPr>
        <w:t>Case concerning The Territorial and Maritime Dispute (Nicaragua v. Colombia)</w:t>
      </w:r>
      <w:r w:rsidRPr="00D56422">
        <w:rPr>
          <w:rFonts w:cs="Arial"/>
          <w:color w:val="333333"/>
          <w:sz w:val="20"/>
          <w:szCs w:val="20"/>
          <w:lang w:val="en-US" w:eastAsia="fr-FR"/>
        </w:rPr>
        <w:t>, Counsel and Advocate for Colombia, pleadings: "La demande nicaraguayenne d’une déclaration en réparation doit être rejetée" (translation: "Nicaragua’s Request for a Declaration of Reparation must be rejected") (CR 2012/13, </w:t>
      </w:r>
      <w:hyperlink r:id="rId61" w:history="1">
        <w:r w:rsidRPr="00D56422">
          <w:rPr>
            <w:rFonts w:cs="Arial"/>
            <w:color w:val="0782C1"/>
            <w:sz w:val="20"/>
            <w:szCs w:val="20"/>
            <w:u w:val="single"/>
            <w:lang w:val="en-US" w:eastAsia="fr-FR"/>
          </w:rPr>
          <w:t>original: pp. 56-65</w:t>
        </w:r>
      </w:hyperlink>
      <w:r w:rsidRPr="00D56422">
        <w:rPr>
          <w:rFonts w:cs="Arial"/>
          <w:color w:val="333333"/>
          <w:sz w:val="20"/>
          <w:szCs w:val="20"/>
          <w:lang w:val="en-US" w:eastAsia="fr-FR"/>
        </w:rPr>
        <w:t>; </w:t>
      </w:r>
      <w:hyperlink r:id="rId62" w:history="1">
        <w:r w:rsidRPr="00D56422">
          <w:rPr>
            <w:rFonts w:cs="Arial"/>
            <w:color w:val="0782C1"/>
            <w:sz w:val="20"/>
            <w:szCs w:val="20"/>
            <w:u w:val="single"/>
            <w:lang w:val="en-US" w:eastAsia="fr-FR"/>
          </w:rPr>
          <w:t>translation: pp. 53-62 </w:t>
        </w:r>
      </w:hyperlink>
      <w:r w:rsidRPr="00D56422">
        <w:rPr>
          <w:rFonts w:cs="Arial"/>
          <w:color w:val="333333"/>
          <w:sz w:val="20"/>
          <w:szCs w:val="20"/>
          <w:lang w:val="en-US" w:eastAsia="fr-FR"/>
        </w:rPr>
        <w:t>; </w:t>
      </w:r>
      <w:hyperlink r:id="rId63" w:history="1">
        <w:r w:rsidRPr="00D56422">
          <w:rPr>
            <w:rFonts w:cs="Arial"/>
            <w:color w:val="0782C1"/>
            <w:sz w:val="20"/>
            <w:szCs w:val="20"/>
            <w:u w:val="single"/>
            <w:lang w:val="en-US" w:eastAsia="fr-FR"/>
          </w:rPr>
          <w:t>Video public hearings 3 pm - 6 pm (Part 2 of </w:t>
        </w:r>
      </w:hyperlink>
      <w:hyperlink r:id="rId64" w:history="1">
        <w:r w:rsidRPr="00D56422">
          <w:rPr>
            <w:rFonts w:cs="Arial"/>
            <w:color w:val="0782C1"/>
            <w:sz w:val="20"/>
            <w:szCs w:val="20"/>
            <w:u w:val="single"/>
            <w:lang w:val="en-US" w:eastAsia="fr-FR"/>
          </w:rPr>
          <w:t>2 ) at 62'34''</w:t>
        </w:r>
      </w:hyperlink>
      <w:r w:rsidRPr="00D56422">
        <w:rPr>
          <w:rFonts w:cs="Arial"/>
          <w:color w:val="333333"/>
          <w:sz w:val="20"/>
          <w:szCs w:val="20"/>
          <w:lang w:val="en-US" w:eastAsia="fr-FR"/>
        </w:rPr>
        <w:t>).</w:t>
      </w: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r w:rsidRPr="00D56422">
        <w:rPr>
          <w:rFonts w:cs="Arial"/>
          <w:color w:val="333333"/>
          <w:sz w:val="20"/>
          <w:szCs w:val="20"/>
          <w:lang w:val="en-US" w:eastAsia="fr-FR"/>
        </w:rPr>
        <w:t>- International Court of Justice, The Hague, 26 April 2012, </w:t>
      </w:r>
      <w:r w:rsidRPr="00D56422">
        <w:rPr>
          <w:rFonts w:cs="Arial"/>
          <w:i/>
          <w:iCs/>
          <w:color w:val="333333"/>
          <w:sz w:val="20"/>
          <w:szCs w:val="20"/>
          <w:lang w:val="en-US" w:eastAsia="fr-FR"/>
        </w:rPr>
        <w:t>Case concerning The Territorial and Maritime Dispute (Nicaragua v. Colombia)</w:t>
      </w:r>
      <w:r w:rsidRPr="00D56422">
        <w:rPr>
          <w:rFonts w:cs="Arial"/>
          <w:color w:val="333333"/>
          <w:sz w:val="20"/>
          <w:szCs w:val="20"/>
          <w:lang w:val="en-US" w:eastAsia="fr-FR"/>
        </w:rPr>
        <w:t>, Counsel and Advocate for Colombia, pleadings: "La revendication artificielle nicaraguayenne face à la souveraineté territoriale incontestable de la Colombie sur les cayes" (translation: "Nicaragua’s Artificial Claim in the light of Colombia’s Indisputable Territorial Sovereignty over The Cays") (CR 2012/11, </w:t>
      </w:r>
      <w:hyperlink r:id="rId65" w:history="1">
        <w:r w:rsidRPr="00D56422">
          <w:rPr>
            <w:rFonts w:cs="Arial"/>
            <w:color w:val="0782C1"/>
            <w:sz w:val="20"/>
            <w:szCs w:val="20"/>
            <w:u w:val="single"/>
            <w:lang w:val="en-US" w:eastAsia="fr-FR"/>
          </w:rPr>
          <w:t>original: pp. 30-50</w:t>
        </w:r>
      </w:hyperlink>
      <w:r w:rsidRPr="00D56422">
        <w:rPr>
          <w:rFonts w:cs="Arial"/>
          <w:color w:val="333333"/>
          <w:sz w:val="20"/>
          <w:szCs w:val="20"/>
          <w:lang w:val="en-US" w:eastAsia="fr-FR"/>
        </w:rPr>
        <w:t>; </w:t>
      </w:r>
      <w:hyperlink r:id="rId66" w:history="1">
        <w:r w:rsidRPr="00D56422">
          <w:rPr>
            <w:rFonts w:cs="Arial"/>
            <w:color w:val="0782C1"/>
            <w:sz w:val="20"/>
            <w:szCs w:val="20"/>
            <w:u w:val="single"/>
            <w:lang w:val="en-US" w:eastAsia="fr-FR"/>
          </w:rPr>
          <w:t>translation: pp. 25-43 </w:t>
        </w:r>
      </w:hyperlink>
      <w:r w:rsidRPr="00D56422">
        <w:rPr>
          <w:rFonts w:cs="Arial"/>
          <w:color w:val="333333"/>
          <w:sz w:val="20"/>
          <w:szCs w:val="20"/>
          <w:lang w:val="en-US" w:eastAsia="fr-FR"/>
        </w:rPr>
        <w:t>; </w:t>
      </w:r>
      <w:hyperlink r:id="rId67" w:history="1">
        <w:r w:rsidRPr="00D56422">
          <w:rPr>
            <w:rFonts w:cs="Arial"/>
            <w:color w:val="0782C1"/>
            <w:sz w:val="20"/>
            <w:szCs w:val="20"/>
            <w:u w:val="single"/>
            <w:lang w:val="en-US" w:eastAsia="fr-FR"/>
          </w:rPr>
          <w:t>Video public hearings (Part 1 of 2) at 65'15''</w:t>
        </w:r>
      </w:hyperlink>
      <w:r w:rsidRPr="00D56422">
        <w:rPr>
          <w:rFonts w:cs="Arial"/>
          <w:color w:val="333333"/>
          <w:sz w:val="20"/>
          <w:szCs w:val="20"/>
          <w:lang w:val="en-US" w:eastAsia="fr-FR"/>
        </w:rPr>
        <w:t>).</w:t>
      </w:r>
    </w:p>
    <w:p w:rsidR="00D56422" w:rsidRPr="00D56422" w:rsidRDefault="00D56422" w:rsidP="00D56422">
      <w:pPr>
        <w:spacing w:before="100" w:beforeAutospacing="1" w:after="100" w:afterAutospacing="1" w:line="240" w:lineRule="auto"/>
        <w:rPr>
          <w:rFonts w:cs="Arial"/>
          <w:color w:val="333333"/>
          <w:sz w:val="20"/>
          <w:szCs w:val="20"/>
          <w:lang w:val="en-US" w:eastAsia="fr-FR"/>
        </w:rPr>
      </w:pPr>
    </w:p>
    <w:p w:rsidR="00D56422" w:rsidRPr="00D56422" w:rsidRDefault="00D56422" w:rsidP="00D56422">
      <w:pPr>
        <w:spacing w:before="100" w:beforeAutospacing="1" w:after="100" w:afterAutospacing="1" w:line="240" w:lineRule="auto"/>
        <w:jc w:val="both"/>
        <w:rPr>
          <w:rFonts w:cs="Arial"/>
          <w:color w:val="333333"/>
          <w:sz w:val="20"/>
          <w:szCs w:val="20"/>
          <w:lang w:val="en-US" w:eastAsia="fr-FR"/>
        </w:rPr>
      </w:pPr>
      <w:r w:rsidRPr="00D56422">
        <w:rPr>
          <w:rFonts w:cs="Arial"/>
          <w:color w:val="333333"/>
          <w:sz w:val="20"/>
          <w:szCs w:val="20"/>
          <w:lang w:val="en-US" w:eastAsia="fr-FR"/>
        </w:rPr>
        <w:t>2011</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12 January 2011, </w:t>
      </w:r>
      <w:r w:rsidRPr="00D56422">
        <w:rPr>
          <w:rFonts w:cs="Arial"/>
          <w:i/>
          <w:iCs/>
          <w:color w:val="333333"/>
          <w:sz w:val="20"/>
          <w:szCs w:val="20"/>
          <w:lang w:val="en-US" w:eastAsia="fr-FR"/>
        </w:rPr>
        <w:t>Case concerning Certain Activities carried out by Nicaragua in the Border Area (Costa Rica v. Nicaragua)</w:t>
      </w:r>
      <w:r w:rsidRPr="00D56422">
        <w:rPr>
          <w:rFonts w:cs="Arial"/>
          <w:color w:val="333333"/>
          <w:sz w:val="20"/>
          <w:szCs w:val="20"/>
          <w:lang w:val="en-US" w:eastAsia="fr-FR"/>
        </w:rPr>
        <w:t>, Counsel and Advocate for Costa Rica, pleadings: "La préservation de la souveraineté et de l'intégrité territoriale costaricienne dans le cadre de l'indication de mesures conservatoires" (translation: "The Preservation of Costa Rican Sovereignty and Territorial Integrity in the Context of the Indication of Provisional Measures") (CR 2011/3, </w:t>
      </w:r>
      <w:hyperlink r:id="rId68" w:tgtFrame="_blank" w:history="1">
        <w:r w:rsidRPr="00D56422">
          <w:rPr>
            <w:rFonts w:cs="Arial"/>
            <w:color w:val="0782C1"/>
            <w:sz w:val="20"/>
            <w:szCs w:val="20"/>
            <w:u w:val="single"/>
            <w:lang w:val="en-US" w:eastAsia="fr-FR"/>
          </w:rPr>
          <w:t xml:space="preserve">original: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p. 8-20</w:t>
        </w:r>
      </w:hyperlink>
      <w:r w:rsidRPr="00D56422">
        <w:rPr>
          <w:rFonts w:cs="Arial"/>
          <w:color w:val="333333"/>
          <w:sz w:val="20"/>
          <w:szCs w:val="20"/>
          <w:lang w:val="en-US" w:eastAsia="fr-FR"/>
        </w:rPr>
        <w:t>; </w:t>
      </w:r>
      <w:hyperlink r:id="rId69" w:tgtFrame="_blank" w:history="1">
        <w:r w:rsidRPr="00D56422">
          <w:rPr>
            <w:rFonts w:cs="Arial"/>
            <w:color w:val="0782C1"/>
            <w:sz w:val="20"/>
            <w:szCs w:val="20"/>
            <w:u w:val="single"/>
            <w:lang w:val="en-US" w:eastAsia="fr-FR"/>
          </w:rPr>
          <w:t xml:space="preserve">translation: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p. 2-14</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11 January 2011, </w:t>
      </w:r>
      <w:r w:rsidRPr="00D56422">
        <w:rPr>
          <w:rFonts w:cs="Arial"/>
          <w:i/>
          <w:iCs/>
          <w:color w:val="333333"/>
          <w:sz w:val="20"/>
          <w:szCs w:val="20"/>
          <w:lang w:val="en-US" w:eastAsia="fr-FR"/>
        </w:rPr>
        <w:t>Case concerning Certain Activities carried out by Nicaragua in the Border Area (Costa Rica v. Nicaragua)</w:t>
      </w:r>
      <w:r w:rsidRPr="00D56422">
        <w:rPr>
          <w:rFonts w:cs="Arial"/>
          <w:color w:val="333333"/>
          <w:sz w:val="20"/>
          <w:szCs w:val="20"/>
          <w:lang w:val="en-US" w:eastAsia="fr-FR"/>
        </w:rPr>
        <w:t>, Counsel and Advocate for Costa Rica, pleadings: "Les droits que le Costa Rica demande de sauvegarder sont amplement prouvés et même reconnus par le Nicaragua" (translation: "The Costa Rican Rights that require Protection are Demonstrably Proven and are even Recognized by Nicaragua") (CR 2011/1, </w:t>
      </w:r>
      <w:hyperlink r:id="rId70" w:tgtFrame="_blank" w:history="1">
        <w:r w:rsidRPr="00D56422">
          <w:rPr>
            <w:rFonts w:cs="Arial"/>
            <w:color w:val="0782C1"/>
            <w:sz w:val="20"/>
            <w:szCs w:val="20"/>
            <w:u w:val="single"/>
            <w:lang w:val="en-US" w:eastAsia="fr-FR"/>
          </w:rPr>
          <w:t>original: p</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3</w:t>
        </w:r>
        <w:r w:rsidRPr="00D56422">
          <w:rPr>
            <w:rFonts w:cs="Arial"/>
            <w:color w:val="0782C1"/>
            <w:sz w:val="20"/>
            <w:szCs w:val="20"/>
            <w:u w:val="single"/>
            <w:lang w:val="en-US" w:eastAsia="fr-FR"/>
          </w:rPr>
          <w:t>6</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5</w:t>
        </w:r>
        <w:r w:rsidRPr="00D56422">
          <w:rPr>
            <w:rFonts w:cs="Arial"/>
            <w:color w:val="0782C1"/>
            <w:sz w:val="20"/>
            <w:szCs w:val="20"/>
            <w:u w:val="single"/>
            <w:lang w:val="en-US" w:eastAsia="fr-FR"/>
          </w:rPr>
          <w:t>2</w:t>
        </w:r>
      </w:hyperlink>
      <w:r w:rsidRPr="00D56422">
        <w:rPr>
          <w:rFonts w:cs="Arial"/>
          <w:color w:val="333333"/>
          <w:sz w:val="20"/>
          <w:szCs w:val="20"/>
          <w:lang w:val="en-US" w:eastAsia="fr-FR"/>
        </w:rPr>
        <w:t>; </w:t>
      </w:r>
      <w:hyperlink r:id="rId71" w:tgtFrame="_blank" w:history="1">
        <w:r w:rsidRPr="00D56422">
          <w:rPr>
            <w:rFonts w:cs="Arial"/>
            <w:color w:val="0782C1"/>
            <w:sz w:val="20"/>
            <w:szCs w:val="20"/>
            <w:u w:val="single"/>
            <w:lang w:val="en-US" w:eastAsia="fr-FR"/>
          </w:rPr>
          <w:t>tran</w:t>
        </w:r>
        <w:r w:rsidRPr="00D56422">
          <w:rPr>
            <w:rFonts w:cs="Arial"/>
            <w:color w:val="0782C1"/>
            <w:sz w:val="20"/>
            <w:szCs w:val="20"/>
            <w:u w:val="single"/>
            <w:lang w:val="en-US" w:eastAsia="fr-FR"/>
          </w:rPr>
          <w:t>s</w:t>
        </w:r>
        <w:r w:rsidRPr="00D56422">
          <w:rPr>
            <w:rFonts w:cs="Arial"/>
            <w:color w:val="0782C1"/>
            <w:sz w:val="20"/>
            <w:szCs w:val="20"/>
            <w:u w:val="single"/>
            <w:lang w:val="en-US" w:eastAsia="fr-FR"/>
          </w:rPr>
          <w:t>lation: pp</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32-47</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2010</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20 October 2010, C</w:t>
      </w:r>
      <w:r w:rsidRPr="00D56422">
        <w:rPr>
          <w:rFonts w:cs="Arial"/>
          <w:i/>
          <w:iCs/>
          <w:color w:val="333333"/>
          <w:sz w:val="20"/>
          <w:szCs w:val="20"/>
          <w:lang w:val="en-US" w:eastAsia="fr-FR"/>
        </w:rPr>
        <w:t>ase concerning the Territorial and Maritime Dispute (Nicaragua v. Colombia), Application by Honduras for permission to intervene</w:t>
      </w:r>
      <w:r w:rsidRPr="00D56422">
        <w:rPr>
          <w:rFonts w:cs="Arial"/>
          <w:color w:val="333333"/>
          <w:sz w:val="20"/>
          <w:szCs w:val="20"/>
          <w:lang w:val="en-US" w:eastAsia="fr-FR"/>
        </w:rPr>
        <w:t>, Counsel and Advocate for Colombia, pleading: "L'impact du traité de délimitation maritime de 1986 sur le requête hondurienne à fin d'intervention" (translation: "The Impact of the 1986 Maritime Delimitation Treaty on the Honduran Application for Permission to Intervene") (CR 2010/20, </w:t>
      </w:r>
      <w:hyperlink r:id="rId72" w:tgtFrame="_blank" w:history="1">
        <w:r w:rsidRPr="00D56422">
          <w:rPr>
            <w:rFonts w:cs="Arial"/>
            <w:color w:val="0782C1"/>
            <w:sz w:val="20"/>
            <w:szCs w:val="20"/>
            <w:u w:val="single"/>
            <w:lang w:val="en-US" w:eastAsia="fr-FR"/>
          </w:rPr>
          <w:t xml:space="preserve">original: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xml:space="preserve">p. </w:t>
        </w:r>
        <w:r w:rsidRPr="00D56422">
          <w:rPr>
            <w:rFonts w:cs="Arial"/>
            <w:color w:val="0782C1"/>
            <w:sz w:val="20"/>
            <w:szCs w:val="20"/>
            <w:u w:val="single"/>
            <w:lang w:val="en-US" w:eastAsia="fr-FR"/>
          </w:rPr>
          <w:t>2</w:t>
        </w:r>
        <w:r w:rsidRPr="00D56422">
          <w:rPr>
            <w:rFonts w:cs="Arial"/>
            <w:color w:val="0782C1"/>
            <w:sz w:val="20"/>
            <w:szCs w:val="20"/>
            <w:u w:val="single"/>
            <w:lang w:val="en-US" w:eastAsia="fr-FR"/>
          </w:rPr>
          <w:t>7-38</w:t>
        </w:r>
      </w:hyperlink>
      <w:r w:rsidRPr="00D56422">
        <w:rPr>
          <w:rFonts w:cs="Arial"/>
          <w:color w:val="333333"/>
          <w:sz w:val="20"/>
          <w:szCs w:val="20"/>
          <w:lang w:val="en-US" w:eastAsia="fr-FR"/>
        </w:rPr>
        <w:t>; </w:t>
      </w:r>
      <w:hyperlink r:id="rId73" w:tgtFrame="_blank" w:history="1">
        <w:r w:rsidRPr="00D56422">
          <w:rPr>
            <w:rFonts w:cs="Arial"/>
            <w:color w:val="0782C1"/>
            <w:sz w:val="20"/>
            <w:szCs w:val="20"/>
            <w:u w:val="single"/>
            <w:lang w:val="en-US" w:eastAsia="fr-FR"/>
          </w:rPr>
          <w:t>transla</w:t>
        </w:r>
        <w:r w:rsidRPr="00D56422">
          <w:rPr>
            <w:rFonts w:cs="Arial"/>
            <w:color w:val="0782C1"/>
            <w:sz w:val="20"/>
            <w:szCs w:val="20"/>
            <w:u w:val="single"/>
            <w:lang w:val="en-US" w:eastAsia="fr-FR"/>
          </w:rPr>
          <w:t>t</w:t>
        </w:r>
        <w:r w:rsidRPr="00D56422">
          <w:rPr>
            <w:rFonts w:cs="Arial"/>
            <w:color w:val="0782C1"/>
            <w:sz w:val="20"/>
            <w:szCs w:val="20"/>
            <w:u w:val="single"/>
            <w:lang w:val="en-US" w:eastAsia="fr-FR"/>
          </w:rPr>
          <w:t>i</w:t>
        </w:r>
        <w:r w:rsidRPr="00D56422">
          <w:rPr>
            <w:rFonts w:cs="Arial"/>
            <w:color w:val="0782C1"/>
            <w:sz w:val="20"/>
            <w:szCs w:val="20"/>
            <w:u w:val="single"/>
            <w:lang w:val="en-US" w:eastAsia="fr-FR"/>
          </w:rPr>
          <w:t>on: pp. 20-30</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2009</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29 September 2009, </w:t>
      </w:r>
      <w:r w:rsidRPr="00D56422">
        <w:rPr>
          <w:rFonts w:cs="Arial"/>
          <w:i/>
          <w:iCs/>
          <w:color w:val="333333"/>
          <w:sz w:val="20"/>
          <w:szCs w:val="20"/>
          <w:lang w:val="en-US" w:eastAsia="fr-FR"/>
        </w:rPr>
        <w:t>Case concerning Pulp Mills on the River Uruguay (Argentina v. Uruguay)</w:t>
      </w:r>
      <w:r w:rsidRPr="00D56422">
        <w:rPr>
          <w:rFonts w:cs="Arial"/>
          <w:color w:val="333333"/>
          <w:sz w:val="20"/>
          <w:szCs w:val="20"/>
          <w:lang w:val="en-US" w:eastAsia="fr-FR"/>
        </w:rPr>
        <w:t>, Counsel and Advocate for Argentina, pleadings: "Les tentatives Uruguayennes de contourner le Statut doivent être rejetées" (translation: "Uruguay's Attempts to Bypass the Statute must be Rejected") (CR 2009/21, </w:t>
      </w:r>
      <w:hyperlink r:id="rId74" w:tgtFrame="_blank" w:history="1">
        <w:r w:rsidRPr="00D56422">
          <w:rPr>
            <w:rFonts w:cs="Arial"/>
            <w:color w:val="0782C1"/>
            <w:sz w:val="20"/>
            <w:szCs w:val="20"/>
            <w:u w:val="single"/>
            <w:lang w:val="en-US" w:eastAsia="fr-FR"/>
          </w:rPr>
          <w:t>original: pp.</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36-51</w:t>
        </w:r>
      </w:hyperlink>
      <w:r w:rsidRPr="00D56422">
        <w:rPr>
          <w:rFonts w:cs="Arial"/>
          <w:color w:val="333333"/>
          <w:sz w:val="20"/>
          <w:szCs w:val="20"/>
          <w:lang w:val="en-US" w:eastAsia="fr-FR"/>
        </w:rPr>
        <w:t>; </w:t>
      </w:r>
      <w:hyperlink r:id="rId75" w:tgtFrame="_blank" w:history="1">
        <w:r w:rsidRPr="00D56422">
          <w:rPr>
            <w:rFonts w:cs="Arial"/>
            <w:color w:val="0782C1"/>
            <w:sz w:val="20"/>
            <w:szCs w:val="20"/>
            <w:u w:val="single"/>
            <w:lang w:val="en-US" w:eastAsia="fr-FR"/>
          </w:rPr>
          <w:t>transla</w:t>
        </w:r>
        <w:r w:rsidRPr="00D56422">
          <w:rPr>
            <w:rFonts w:cs="Arial"/>
            <w:color w:val="0782C1"/>
            <w:sz w:val="20"/>
            <w:szCs w:val="20"/>
            <w:u w:val="single"/>
            <w:lang w:val="en-US" w:eastAsia="fr-FR"/>
          </w:rPr>
          <w:t>t</w:t>
        </w:r>
        <w:r w:rsidRPr="00D56422">
          <w:rPr>
            <w:rFonts w:cs="Arial"/>
            <w:color w:val="0782C1"/>
            <w:sz w:val="20"/>
            <w:szCs w:val="20"/>
            <w:u w:val="single"/>
            <w:lang w:val="en-US" w:eastAsia="fr-FR"/>
          </w:rPr>
          <w:t>ion:</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pp. 29-44</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17 September 2009, </w:t>
      </w:r>
      <w:r w:rsidRPr="00D56422">
        <w:rPr>
          <w:rFonts w:cs="Arial"/>
          <w:i/>
          <w:iCs/>
          <w:color w:val="333333"/>
          <w:sz w:val="20"/>
          <w:szCs w:val="20"/>
          <w:lang w:val="en-US" w:eastAsia="fr-FR"/>
        </w:rPr>
        <w:t>Case concerning Pulp Mills on the River Uruguay (Argentina v. Uruguay)</w:t>
      </w:r>
      <w:r w:rsidRPr="00D56422">
        <w:rPr>
          <w:rFonts w:cs="Arial"/>
          <w:color w:val="333333"/>
          <w:sz w:val="20"/>
          <w:szCs w:val="20"/>
          <w:lang w:val="en-US" w:eastAsia="fr-FR"/>
        </w:rPr>
        <w:t xml:space="preserve">, Counsel and Advocate for Argentina, pleadings: "Conclusions du premier tour des plaidoiries de la République Argentine" (translation: "Conclusions to the Argentine Republic's First Round of Oral Argument") (CR </w:t>
      </w:r>
      <w:r w:rsidRPr="00D56422">
        <w:rPr>
          <w:rFonts w:cs="Arial"/>
          <w:color w:val="333333"/>
          <w:sz w:val="20"/>
          <w:szCs w:val="20"/>
          <w:lang w:val="en-US" w:eastAsia="fr-FR"/>
        </w:rPr>
        <w:lastRenderedPageBreak/>
        <w:t>2009/15, </w:t>
      </w:r>
      <w:hyperlink r:id="rId76" w:tgtFrame="_blank" w:history="1">
        <w:r w:rsidRPr="00D56422">
          <w:rPr>
            <w:rFonts w:cs="Arial"/>
            <w:color w:val="0782C1"/>
            <w:sz w:val="20"/>
            <w:szCs w:val="20"/>
            <w:u w:val="single"/>
            <w:lang w:val="en-US" w:eastAsia="fr-FR"/>
          </w:rPr>
          <w:t>original: pp.</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5</w:t>
        </w:r>
        <w:r w:rsidRPr="00D56422">
          <w:rPr>
            <w:rFonts w:cs="Arial"/>
            <w:color w:val="0782C1"/>
            <w:sz w:val="20"/>
            <w:szCs w:val="20"/>
            <w:u w:val="single"/>
            <w:lang w:val="en-US" w:eastAsia="fr-FR"/>
          </w:rPr>
          <w:t>6-67</w:t>
        </w:r>
      </w:hyperlink>
      <w:r w:rsidRPr="00D56422">
        <w:rPr>
          <w:rFonts w:cs="Arial"/>
          <w:color w:val="333333"/>
          <w:sz w:val="20"/>
          <w:szCs w:val="20"/>
          <w:lang w:val="en-US" w:eastAsia="fr-FR"/>
        </w:rPr>
        <w:t>; </w:t>
      </w:r>
      <w:hyperlink r:id="rId77" w:tgtFrame="_blank" w:history="1">
        <w:r w:rsidRPr="00D56422">
          <w:rPr>
            <w:rFonts w:cs="Arial"/>
            <w:color w:val="0782C1"/>
            <w:sz w:val="20"/>
            <w:szCs w:val="20"/>
            <w:u w:val="single"/>
            <w:lang w:val="en-US" w:eastAsia="fr-FR"/>
          </w:rPr>
          <w:t>translatio</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pp. 49-59</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-International Court of Justice, The Hague, 16 September 2009, </w:t>
      </w:r>
      <w:r w:rsidRPr="00D56422">
        <w:rPr>
          <w:rFonts w:cs="Arial"/>
          <w:i/>
          <w:iCs/>
          <w:color w:val="333333"/>
          <w:sz w:val="20"/>
          <w:szCs w:val="20"/>
          <w:lang w:val="en-US" w:eastAsia="fr-FR"/>
        </w:rPr>
        <w:t>Case concerning Pulp Mills on the River Uruguay (Argentina v. Uruguay)</w:t>
      </w:r>
      <w:r w:rsidRPr="00D56422">
        <w:rPr>
          <w:rFonts w:cs="Arial"/>
          <w:color w:val="333333"/>
          <w:sz w:val="20"/>
          <w:szCs w:val="20"/>
          <w:lang w:val="en-US" w:eastAsia="fr-FR"/>
        </w:rPr>
        <w:t>, Counsel and Advocate for Argentina, pleadings: "Les parties ne sont pas mises d'accord pour ecarter la procédure du Statut de 1975. Les tentatives Uruguayennes d'imposer un fait accompli" (translation: "The Parties did not agree to dispense with the Procedue under the 1975 Statute. Uruguay's Attempts to Impose a Fact Accompli") (CR 2009/14, </w:t>
      </w:r>
      <w:hyperlink r:id="rId78" w:tgtFrame="_blank" w:history="1">
        <w:r w:rsidRPr="00D56422">
          <w:rPr>
            <w:rFonts w:cs="Arial"/>
            <w:color w:val="0782C1"/>
            <w:sz w:val="20"/>
            <w:szCs w:val="20"/>
            <w:u w:val="single"/>
            <w:lang w:val="en-US" w:eastAsia="fr-FR"/>
          </w:rPr>
          <w:t>original</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pp</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12-23</w:t>
        </w:r>
      </w:hyperlink>
      <w:r w:rsidRPr="00D56422">
        <w:rPr>
          <w:rFonts w:cs="Arial"/>
          <w:color w:val="333333"/>
          <w:sz w:val="20"/>
          <w:szCs w:val="20"/>
          <w:lang w:val="en-US" w:eastAsia="fr-FR"/>
        </w:rPr>
        <w:t>; </w:t>
      </w:r>
      <w:hyperlink r:id="rId79" w:tgtFrame="_blank" w:history="1">
        <w:r w:rsidRPr="00D56422">
          <w:rPr>
            <w:rFonts w:cs="Arial"/>
            <w:color w:val="0782C1"/>
            <w:sz w:val="20"/>
            <w:szCs w:val="20"/>
            <w:u w:val="single"/>
            <w:lang w:val="en-US" w:eastAsia="fr-FR"/>
          </w:rPr>
          <w:t>transl</w:t>
        </w:r>
        <w:r w:rsidRPr="00D56422">
          <w:rPr>
            <w:rFonts w:cs="Arial"/>
            <w:color w:val="0782C1"/>
            <w:sz w:val="20"/>
            <w:szCs w:val="20"/>
            <w:u w:val="single"/>
            <w:lang w:val="en-US" w:eastAsia="fr-FR"/>
          </w:rPr>
          <w:t>a</w:t>
        </w:r>
        <w:r w:rsidRPr="00D56422">
          <w:rPr>
            <w:rFonts w:cs="Arial"/>
            <w:color w:val="0782C1"/>
            <w:sz w:val="20"/>
            <w:szCs w:val="20"/>
            <w:u w:val="single"/>
            <w:lang w:val="en-US" w:eastAsia="fr-FR"/>
          </w:rPr>
          <w:t>tio</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 pp. 2-13</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15 September 2009, </w:t>
      </w:r>
      <w:r w:rsidRPr="00D56422">
        <w:rPr>
          <w:rFonts w:cs="Arial"/>
          <w:i/>
          <w:iCs/>
          <w:color w:val="333333"/>
          <w:sz w:val="20"/>
          <w:szCs w:val="20"/>
          <w:lang w:val="en-US" w:eastAsia="fr-FR"/>
        </w:rPr>
        <w:t>Case concerning Pulp Mills on the River Uruguay (Argentina v. Uruguay)</w:t>
      </w:r>
      <w:r w:rsidRPr="00D56422">
        <w:rPr>
          <w:rFonts w:cs="Arial"/>
          <w:color w:val="333333"/>
          <w:sz w:val="20"/>
          <w:szCs w:val="20"/>
          <w:lang w:val="en-US" w:eastAsia="fr-FR"/>
        </w:rPr>
        <w:t>, Counsel and Advocate for Argentina, pleadings: "La question relative à l'emplacement de l'usine est au coeur du différend" (translation: "The Question of Site Selection is at the Heart of the Dispute") (CR 2009/13, </w:t>
      </w:r>
      <w:hyperlink r:id="rId80" w:tgtFrame="_blank" w:history="1">
        <w:r w:rsidRPr="00D56422">
          <w:rPr>
            <w:rFonts w:cs="Arial"/>
            <w:color w:val="0782C1"/>
            <w:sz w:val="20"/>
            <w:szCs w:val="20"/>
            <w:u w:val="single"/>
            <w:lang w:val="en-US" w:eastAsia="fr-FR"/>
          </w:rPr>
          <w:t xml:space="preserve">original: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p. 12-25</w:t>
        </w:r>
      </w:hyperlink>
      <w:r w:rsidRPr="00D56422">
        <w:rPr>
          <w:rFonts w:cs="Arial"/>
          <w:color w:val="333333"/>
          <w:sz w:val="20"/>
          <w:szCs w:val="20"/>
          <w:lang w:val="en-US" w:eastAsia="fr-FR"/>
        </w:rPr>
        <w:t>; </w:t>
      </w:r>
      <w:hyperlink r:id="rId81" w:tgtFrame="_blank" w:history="1">
        <w:r w:rsidRPr="00D56422">
          <w:rPr>
            <w:rFonts w:cs="Arial"/>
            <w:color w:val="0782C1"/>
            <w:sz w:val="20"/>
            <w:szCs w:val="20"/>
            <w:u w:val="single"/>
            <w:lang w:val="en-US" w:eastAsia="fr-FR"/>
          </w:rPr>
          <w:t>translation:</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p. 2-14</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9 March 2009, Case concerning the Dispute regarding Navigational and Related Rights (Costa Rica v. Nicaragua), Counsel and Advocate for Costa Rica, pleadings: "L'article VI du traité de limites se réfère 'aux fins du commerce'" (translation: "Article VI of the Treaty refers to 'purposes of commerce'") (CR 2009/6, </w:t>
      </w:r>
      <w:hyperlink r:id="rId82" w:tgtFrame="_blank" w:history="1">
        <w:r w:rsidRPr="00D56422">
          <w:rPr>
            <w:rFonts w:cs="Arial"/>
            <w:color w:val="0782C1"/>
            <w:sz w:val="20"/>
            <w:szCs w:val="20"/>
            <w:u w:val="single"/>
            <w:lang w:val="en-US" w:eastAsia="fr-FR"/>
          </w:rPr>
          <w:t xml:space="preserve">original: pp. </w:t>
        </w:r>
        <w:r w:rsidRPr="00D56422">
          <w:rPr>
            <w:rFonts w:cs="Arial"/>
            <w:color w:val="0782C1"/>
            <w:sz w:val="20"/>
            <w:szCs w:val="20"/>
            <w:u w:val="single"/>
            <w:lang w:val="en-US" w:eastAsia="fr-FR"/>
          </w:rPr>
          <w:t>1</w:t>
        </w:r>
        <w:r w:rsidRPr="00D56422">
          <w:rPr>
            <w:rFonts w:cs="Arial"/>
            <w:color w:val="0782C1"/>
            <w:sz w:val="20"/>
            <w:szCs w:val="20"/>
            <w:u w:val="single"/>
            <w:lang w:val="en-US" w:eastAsia="fr-FR"/>
          </w:rPr>
          <w:t>9-36</w:t>
        </w:r>
      </w:hyperlink>
      <w:r w:rsidRPr="00D56422">
        <w:rPr>
          <w:rFonts w:cs="Arial"/>
          <w:color w:val="333333"/>
          <w:sz w:val="20"/>
          <w:szCs w:val="20"/>
          <w:lang w:val="en-US" w:eastAsia="fr-FR"/>
        </w:rPr>
        <w:t>; </w:t>
      </w:r>
      <w:hyperlink r:id="rId83" w:tgtFrame="_blank" w:history="1">
        <w:r w:rsidRPr="00D56422">
          <w:rPr>
            <w:rFonts w:cs="Arial"/>
            <w:color w:val="0782C1"/>
            <w:sz w:val="20"/>
            <w:szCs w:val="20"/>
            <w:u w:val="single"/>
            <w:lang w:val="en-US" w:eastAsia="fr-FR"/>
          </w:rPr>
          <w:t>translation:</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pp. 14-31</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3 March 2009, </w:t>
      </w:r>
      <w:r w:rsidRPr="00D56422">
        <w:rPr>
          <w:rFonts w:cs="Arial"/>
          <w:i/>
          <w:iCs/>
          <w:color w:val="333333"/>
          <w:sz w:val="20"/>
          <w:szCs w:val="20"/>
          <w:lang w:val="en-US" w:eastAsia="fr-FR"/>
        </w:rPr>
        <w:t>Case concerning the Dispute regarding Navigational and Related Rights (Costa Rica v. Nicaragua)</w:t>
      </w:r>
      <w:r w:rsidRPr="00D56422">
        <w:rPr>
          <w:rFonts w:cs="Arial"/>
          <w:color w:val="333333"/>
          <w:sz w:val="20"/>
          <w:szCs w:val="20"/>
          <w:lang w:val="en-US" w:eastAsia="fr-FR"/>
        </w:rPr>
        <w:t>, Counsel and Advocate for Costa Rica, pleadings: "Les droits connexes du Costa Rica et leurs violations par le Nicaragua" (translation: "The Related Rights of Costa Rica and Violations of These Rights by Nicaragua") (CR 2009/3, </w:t>
      </w:r>
      <w:hyperlink r:id="rId84" w:tgtFrame="_blank" w:history="1">
        <w:r w:rsidRPr="00D56422">
          <w:rPr>
            <w:rFonts w:cs="Arial"/>
            <w:color w:val="0782C1"/>
            <w:sz w:val="20"/>
            <w:szCs w:val="20"/>
            <w:u w:val="single"/>
            <w:lang w:val="en-US" w:eastAsia="fr-FR"/>
          </w:rPr>
          <w:t xml:space="preserve">original: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xml:space="preserve">p. </w:t>
        </w:r>
        <w:r w:rsidRPr="00D56422">
          <w:rPr>
            <w:rFonts w:cs="Arial"/>
            <w:color w:val="0782C1"/>
            <w:sz w:val="20"/>
            <w:szCs w:val="20"/>
            <w:u w:val="single"/>
            <w:lang w:val="en-US" w:eastAsia="fr-FR"/>
          </w:rPr>
          <w:t>5</w:t>
        </w:r>
        <w:r w:rsidRPr="00D56422">
          <w:rPr>
            <w:rFonts w:cs="Arial"/>
            <w:color w:val="0782C1"/>
            <w:sz w:val="20"/>
            <w:szCs w:val="20"/>
            <w:u w:val="single"/>
            <w:lang w:val="en-US" w:eastAsia="fr-FR"/>
          </w:rPr>
          <w:t>2-63</w:t>
        </w:r>
      </w:hyperlink>
      <w:r w:rsidRPr="00D56422">
        <w:rPr>
          <w:rFonts w:cs="Arial"/>
          <w:color w:val="333333"/>
          <w:sz w:val="20"/>
          <w:szCs w:val="20"/>
          <w:lang w:val="en-US" w:eastAsia="fr-FR"/>
        </w:rPr>
        <w:t>; </w:t>
      </w:r>
      <w:hyperlink r:id="rId85" w:tgtFrame="_blank" w:history="1">
        <w:r w:rsidRPr="00D56422">
          <w:rPr>
            <w:rFonts w:cs="Arial"/>
            <w:color w:val="0782C1"/>
            <w:sz w:val="20"/>
            <w:szCs w:val="20"/>
            <w:u w:val="single"/>
            <w:lang w:val="en-US" w:eastAsia="fr-FR"/>
          </w:rPr>
          <w:t>translatio</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 pp. 48-59</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3 March 2009, </w:t>
      </w:r>
      <w:r w:rsidRPr="00D56422">
        <w:rPr>
          <w:rFonts w:cs="Arial"/>
          <w:i/>
          <w:iCs/>
          <w:color w:val="333333"/>
          <w:sz w:val="20"/>
          <w:szCs w:val="20"/>
          <w:lang w:val="en-US" w:eastAsia="fr-FR"/>
        </w:rPr>
        <w:t>Case concerning the Dispute regarding Navigational and Related Rights (Costa Rica v. Nicaragua)</w:t>
      </w:r>
      <w:r w:rsidRPr="00D56422">
        <w:rPr>
          <w:rFonts w:cs="Arial"/>
          <w:color w:val="333333"/>
          <w:sz w:val="20"/>
          <w:szCs w:val="20"/>
          <w:lang w:val="en-US" w:eastAsia="fr-FR"/>
        </w:rPr>
        <w:t>, Counsel and Advocate for Costa Rica, pleadings: "Les violations nicaraguayennes du droit perpétuel de libre navigation aux fins du commerce" (translation: "The Violations by Nicaragua of the Perpetual Right of Free Navigation for the Purposes of Commerce") (CR 2009/3, </w:t>
      </w:r>
      <w:hyperlink r:id="rId86" w:tgtFrame="_blank" w:history="1">
        <w:r w:rsidRPr="00D56422">
          <w:rPr>
            <w:rFonts w:cs="Arial"/>
            <w:color w:val="0782C1"/>
            <w:sz w:val="20"/>
            <w:szCs w:val="20"/>
            <w:u w:val="single"/>
            <w:lang w:val="en-US" w:eastAsia="fr-FR"/>
          </w:rPr>
          <w:t>or</w:t>
        </w:r>
        <w:r w:rsidRPr="00D56422">
          <w:rPr>
            <w:rFonts w:cs="Arial"/>
            <w:color w:val="0782C1"/>
            <w:sz w:val="20"/>
            <w:szCs w:val="20"/>
            <w:u w:val="single"/>
            <w:lang w:val="en-US" w:eastAsia="fr-FR"/>
          </w:rPr>
          <w:t>i</w:t>
        </w:r>
        <w:r w:rsidRPr="00D56422">
          <w:rPr>
            <w:rFonts w:cs="Arial"/>
            <w:color w:val="0782C1"/>
            <w:sz w:val="20"/>
            <w:szCs w:val="20"/>
            <w:u w:val="single"/>
            <w:lang w:val="en-US" w:eastAsia="fr-FR"/>
          </w:rPr>
          <w:t>g</w:t>
        </w:r>
        <w:r w:rsidRPr="00D56422">
          <w:rPr>
            <w:rFonts w:cs="Arial"/>
            <w:color w:val="0782C1"/>
            <w:sz w:val="20"/>
            <w:szCs w:val="20"/>
            <w:u w:val="single"/>
            <w:lang w:val="en-US" w:eastAsia="fr-FR"/>
          </w:rPr>
          <w:t>inal:</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3</w:t>
        </w:r>
        <w:r w:rsidRPr="00D56422">
          <w:rPr>
            <w:rFonts w:cs="Arial"/>
            <w:color w:val="0782C1"/>
            <w:sz w:val="20"/>
            <w:szCs w:val="20"/>
            <w:u w:val="single"/>
            <w:lang w:val="en-US" w:eastAsia="fr-FR"/>
          </w:rPr>
          <w:t>4-43</w:t>
        </w:r>
      </w:hyperlink>
      <w:r w:rsidRPr="00D56422">
        <w:rPr>
          <w:rFonts w:cs="Arial"/>
          <w:color w:val="333333"/>
          <w:sz w:val="20"/>
          <w:szCs w:val="20"/>
          <w:lang w:val="en-US" w:eastAsia="fr-FR"/>
        </w:rPr>
        <w:t>; </w:t>
      </w:r>
      <w:hyperlink r:id="rId87" w:tgtFrame="_blank" w:history="1">
        <w:r w:rsidRPr="00D56422">
          <w:rPr>
            <w:rFonts w:cs="Arial"/>
            <w:color w:val="0782C1"/>
            <w:sz w:val="20"/>
            <w:szCs w:val="20"/>
            <w:u w:val="single"/>
            <w:lang w:val="en-US" w:eastAsia="fr-FR"/>
          </w:rPr>
          <w:t>translation: pp.</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3</w:t>
        </w:r>
        <w:r w:rsidRPr="00D56422">
          <w:rPr>
            <w:rFonts w:cs="Arial"/>
            <w:color w:val="0782C1"/>
            <w:sz w:val="20"/>
            <w:szCs w:val="20"/>
            <w:u w:val="single"/>
            <w:lang w:val="en-US" w:eastAsia="fr-FR"/>
          </w:rPr>
          <w:t>1-39</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2 March 2009, </w:t>
      </w:r>
      <w:r w:rsidRPr="00D56422">
        <w:rPr>
          <w:rFonts w:cs="Arial"/>
          <w:i/>
          <w:iCs/>
          <w:color w:val="333333"/>
          <w:sz w:val="20"/>
          <w:szCs w:val="20"/>
          <w:lang w:val="en-US" w:eastAsia="fr-FR"/>
        </w:rPr>
        <w:t>Case concerning the Dispute regarding Navigational and Related Rights (Costa Rica v. Nicaragua)</w:t>
      </w:r>
      <w:r w:rsidRPr="00D56422">
        <w:rPr>
          <w:rFonts w:cs="Arial"/>
          <w:color w:val="333333"/>
          <w:sz w:val="20"/>
          <w:szCs w:val="20"/>
          <w:lang w:val="en-US" w:eastAsia="fr-FR"/>
        </w:rPr>
        <w:t>, Counsel and Advocate for Costa Rica, pleadings: "La portée du droit de navigation aux fins du commerce" (translation: "The Scope of the Right of Navigation for the Purposes of Commerce") (CR 2009/2, </w:t>
      </w:r>
      <w:hyperlink r:id="rId88" w:tgtFrame="_blank" w:history="1">
        <w:r w:rsidRPr="00D56422">
          <w:rPr>
            <w:rFonts w:cs="Arial"/>
            <w:color w:val="0782C1"/>
            <w:sz w:val="20"/>
            <w:szCs w:val="20"/>
            <w:u w:val="single"/>
            <w:lang w:val="en-US" w:eastAsia="fr-FR"/>
          </w:rPr>
          <w:t>original: pp</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4</w:t>
        </w:r>
        <w:r w:rsidRPr="00D56422">
          <w:rPr>
            <w:rFonts w:cs="Arial"/>
            <w:color w:val="0782C1"/>
            <w:sz w:val="20"/>
            <w:szCs w:val="20"/>
            <w:u w:val="single"/>
            <w:lang w:val="en-US" w:eastAsia="fr-FR"/>
          </w:rPr>
          <w:t>7-69</w:t>
        </w:r>
      </w:hyperlink>
      <w:r w:rsidRPr="00D56422">
        <w:rPr>
          <w:rFonts w:cs="Arial"/>
          <w:color w:val="333333"/>
          <w:sz w:val="20"/>
          <w:szCs w:val="20"/>
          <w:lang w:val="en-US" w:eastAsia="fr-FR"/>
        </w:rPr>
        <w:t>; </w:t>
      </w:r>
      <w:hyperlink r:id="rId89" w:tgtFrame="_blank" w:history="1">
        <w:r w:rsidRPr="00D56422">
          <w:rPr>
            <w:rFonts w:cs="Arial"/>
            <w:color w:val="0782C1"/>
            <w:sz w:val="20"/>
            <w:szCs w:val="20"/>
            <w:u w:val="single"/>
            <w:lang w:val="en-US" w:eastAsia="fr-FR"/>
          </w:rPr>
          <w:t>trans</w:t>
        </w:r>
        <w:r w:rsidRPr="00D56422">
          <w:rPr>
            <w:rFonts w:cs="Arial"/>
            <w:color w:val="0782C1"/>
            <w:sz w:val="20"/>
            <w:szCs w:val="20"/>
            <w:u w:val="single"/>
            <w:lang w:val="en-US" w:eastAsia="fr-FR"/>
          </w:rPr>
          <w:t>l</w:t>
        </w:r>
        <w:r w:rsidRPr="00D56422">
          <w:rPr>
            <w:rFonts w:cs="Arial"/>
            <w:color w:val="0782C1"/>
            <w:sz w:val="20"/>
            <w:szCs w:val="20"/>
            <w:u w:val="single"/>
            <w:lang w:val="en-US" w:eastAsia="fr-FR"/>
          </w:rPr>
          <w:t>ation</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pp. 43-64</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2007</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23 November 2007, </w:t>
      </w:r>
      <w:r w:rsidRPr="00D56422">
        <w:rPr>
          <w:rFonts w:cs="Arial"/>
          <w:i/>
          <w:iCs/>
          <w:color w:val="333333"/>
          <w:sz w:val="20"/>
          <w:szCs w:val="20"/>
          <w:lang w:val="en-US" w:eastAsia="fr-FR"/>
        </w:rPr>
        <w:t>Case concerning Sovereignty over Pedra Branca/Pulau Batu Puteh, Middle Rocks and South Ledge (Malaysia/Singapore)</w:t>
      </w:r>
      <w:r w:rsidRPr="00D56422">
        <w:rPr>
          <w:rFonts w:cs="Arial"/>
          <w:color w:val="333333"/>
          <w:sz w:val="20"/>
          <w:szCs w:val="20"/>
          <w:lang w:val="en-US" w:eastAsia="fr-FR"/>
        </w:rPr>
        <w:t>, Counsel and Advocate for Malaysia, pleadings: "Les nouvelles bases de revendication de Singapour" (translation: "The New Grounds for Singapore's Claims") (CR 2007/31, </w:t>
      </w:r>
      <w:hyperlink r:id="rId90" w:tgtFrame="_blank" w:history="1">
        <w:r w:rsidRPr="00D56422">
          <w:rPr>
            <w:rFonts w:cs="Arial"/>
            <w:color w:val="0782C1"/>
            <w:sz w:val="20"/>
            <w:szCs w:val="20"/>
            <w:u w:val="single"/>
            <w:lang w:val="en-US" w:eastAsia="fr-FR"/>
          </w:rPr>
          <w:t xml:space="preserve">original: pp. </w:t>
        </w:r>
        <w:r w:rsidRPr="00D56422">
          <w:rPr>
            <w:rFonts w:cs="Arial"/>
            <w:color w:val="0782C1"/>
            <w:sz w:val="20"/>
            <w:szCs w:val="20"/>
            <w:u w:val="single"/>
            <w:lang w:val="en-US" w:eastAsia="fr-FR"/>
          </w:rPr>
          <w:t>2</w:t>
        </w:r>
        <w:r w:rsidRPr="00D56422">
          <w:rPr>
            <w:rFonts w:cs="Arial"/>
            <w:color w:val="0782C1"/>
            <w:sz w:val="20"/>
            <w:szCs w:val="20"/>
            <w:u w:val="single"/>
            <w:lang w:val="en-US" w:eastAsia="fr-FR"/>
          </w:rPr>
          <w:t>8-40</w:t>
        </w:r>
      </w:hyperlink>
      <w:r w:rsidRPr="00D56422">
        <w:rPr>
          <w:rFonts w:cs="Arial"/>
          <w:color w:val="333333"/>
          <w:sz w:val="20"/>
          <w:szCs w:val="20"/>
          <w:lang w:val="en-US" w:eastAsia="fr-FR"/>
        </w:rPr>
        <w:t>; </w:t>
      </w:r>
      <w:hyperlink r:id="rId91" w:tgtFrame="_blank" w:history="1">
        <w:r w:rsidRPr="00D56422">
          <w:rPr>
            <w:rFonts w:cs="Arial"/>
            <w:color w:val="0782C1"/>
            <w:sz w:val="20"/>
            <w:szCs w:val="20"/>
            <w:u w:val="single"/>
            <w:lang w:val="en-US" w:eastAsia="fr-FR"/>
          </w:rPr>
          <w:t>translation:</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pp. 20-32</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22 November 2007, </w:t>
      </w:r>
      <w:r w:rsidRPr="00D56422">
        <w:rPr>
          <w:rFonts w:cs="Arial"/>
          <w:i/>
          <w:iCs/>
          <w:color w:val="333333"/>
          <w:sz w:val="20"/>
          <w:szCs w:val="20"/>
          <w:lang w:val="en-US" w:eastAsia="fr-FR"/>
        </w:rPr>
        <w:t>Case concerning Sovereignty over Pedra Branca/Pulau Batu Puteh, Middle Rocks and South Ledge (Malaysia/Singapore)</w:t>
      </w:r>
      <w:r w:rsidRPr="00D56422">
        <w:rPr>
          <w:rFonts w:cs="Arial"/>
          <w:color w:val="333333"/>
          <w:sz w:val="20"/>
          <w:szCs w:val="20"/>
          <w:lang w:val="en-US" w:eastAsia="fr-FR"/>
        </w:rPr>
        <w:t>, Counsel and Advocate for Malaysia, pleadings: "Le consentement de Jahore à la construction du phare Horsburgh" (translation: "Johor's Consent to the Construction of the Horsburgh Lighthouse") (CR 2007/30, </w:t>
      </w:r>
      <w:hyperlink r:id="rId92" w:tgtFrame="_blank" w:history="1">
        <w:r w:rsidRPr="00D56422">
          <w:rPr>
            <w:rFonts w:cs="Arial"/>
            <w:color w:val="0782C1"/>
            <w:sz w:val="20"/>
            <w:szCs w:val="20"/>
            <w:u w:val="single"/>
            <w:lang w:val="en-US" w:eastAsia="fr-FR"/>
          </w:rPr>
          <w:t>origin</w:t>
        </w:r>
        <w:r w:rsidRPr="00D56422">
          <w:rPr>
            <w:rFonts w:cs="Arial"/>
            <w:color w:val="0782C1"/>
            <w:sz w:val="20"/>
            <w:szCs w:val="20"/>
            <w:u w:val="single"/>
            <w:lang w:val="en-US" w:eastAsia="fr-FR"/>
          </w:rPr>
          <w:t>a</w:t>
        </w:r>
        <w:r w:rsidRPr="00D56422">
          <w:rPr>
            <w:rFonts w:cs="Arial"/>
            <w:color w:val="0782C1"/>
            <w:sz w:val="20"/>
            <w:szCs w:val="20"/>
            <w:u w:val="single"/>
            <w:lang w:val="en-US" w:eastAsia="fr-FR"/>
          </w:rPr>
          <w:t>l: pp. 40-49</w:t>
        </w:r>
      </w:hyperlink>
      <w:r w:rsidRPr="00D56422">
        <w:rPr>
          <w:rFonts w:cs="Arial"/>
          <w:color w:val="333333"/>
          <w:sz w:val="20"/>
          <w:szCs w:val="20"/>
          <w:lang w:val="en-US" w:eastAsia="fr-FR"/>
        </w:rPr>
        <w:t>; </w:t>
      </w:r>
      <w:hyperlink r:id="rId93" w:tgtFrame="_blank" w:history="1">
        <w:r w:rsidRPr="00D56422">
          <w:rPr>
            <w:rFonts w:cs="Arial"/>
            <w:color w:val="0782C1"/>
            <w:sz w:val="20"/>
            <w:szCs w:val="20"/>
            <w:u w:val="single"/>
            <w:lang w:val="en-US" w:eastAsia="fr-FR"/>
          </w:rPr>
          <w:t>tra</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slation: pp. 33-42</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16 November 2007, </w:t>
      </w:r>
      <w:r w:rsidRPr="00D56422">
        <w:rPr>
          <w:rFonts w:cs="Arial"/>
          <w:i/>
          <w:iCs/>
          <w:color w:val="333333"/>
          <w:sz w:val="20"/>
          <w:szCs w:val="20"/>
          <w:lang w:val="en-US" w:eastAsia="fr-FR"/>
        </w:rPr>
        <w:t>Case concerning Sovereignty over Pedra Branca/Pulau Batu Puteh, Middle Rocks and South Ledge (Malaysia/Singapore)</w:t>
      </w:r>
      <w:r w:rsidRPr="00D56422">
        <w:rPr>
          <w:rFonts w:cs="Arial"/>
          <w:color w:val="333333"/>
          <w:sz w:val="20"/>
          <w:szCs w:val="20"/>
          <w:lang w:val="en-US" w:eastAsia="fr-FR"/>
        </w:rPr>
        <w:t>, Counsel and Advocate for Malaysia, pleadings: "Le prétendu titre de souveraineté revendiqué par Singapour" (translation: "Singapore's Claim to a Purported Title of Sovereignty") (CR 2007/27, </w:t>
      </w:r>
      <w:hyperlink r:id="rId94" w:tgtFrame="_blank" w:history="1">
        <w:r w:rsidRPr="00D56422">
          <w:rPr>
            <w:rFonts w:cs="Arial"/>
            <w:color w:val="0782C1"/>
            <w:sz w:val="20"/>
            <w:szCs w:val="20"/>
            <w:u w:val="single"/>
            <w:lang w:val="en-US" w:eastAsia="fr-FR"/>
          </w:rPr>
          <w:t xml:space="preserve">original: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46-62</w:t>
        </w:r>
      </w:hyperlink>
      <w:r w:rsidRPr="00D56422">
        <w:rPr>
          <w:rFonts w:cs="Arial"/>
          <w:color w:val="333333"/>
          <w:sz w:val="20"/>
          <w:szCs w:val="20"/>
          <w:lang w:val="en-US" w:eastAsia="fr-FR"/>
        </w:rPr>
        <w:t>; </w:t>
      </w:r>
      <w:hyperlink r:id="rId95" w:tgtFrame="_blank" w:history="1">
        <w:r w:rsidRPr="00D56422">
          <w:rPr>
            <w:rFonts w:cs="Arial"/>
            <w:color w:val="0782C1"/>
            <w:sz w:val="20"/>
            <w:szCs w:val="20"/>
            <w:u w:val="single"/>
            <w:lang w:val="en-US" w:eastAsia="fr-FR"/>
          </w:rPr>
          <w:t>tra</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slation: pp. 41-56</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lastRenderedPageBreak/>
        <w:br/>
        <w:t>- International Court of Justice, The Hague, 14 November 2007, </w:t>
      </w:r>
      <w:r w:rsidRPr="00D56422">
        <w:rPr>
          <w:rFonts w:cs="Arial"/>
          <w:i/>
          <w:iCs/>
          <w:color w:val="333333"/>
          <w:sz w:val="20"/>
          <w:szCs w:val="20"/>
          <w:lang w:val="en-US" w:eastAsia="fr-FR"/>
        </w:rPr>
        <w:t>Case concerning Sovereignty over Pedra Branca/Pulau Batu Puteh, Middle Rocks and South Ledge (Malaysia/Singapore)</w:t>
      </w:r>
      <w:r w:rsidRPr="00D56422">
        <w:rPr>
          <w:rFonts w:cs="Arial"/>
          <w:color w:val="333333"/>
          <w:sz w:val="20"/>
          <w:szCs w:val="20"/>
          <w:lang w:val="en-US" w:eastAsia="fr-FR"/>
        </w:rPr>
        <w:t>, Counsel and Advocate for Malaysia, pleadings: "La phare Horsburgh a été construit avec le consentement de Johore" (CR 2007/25, </w:t>
      </w:r>
      <w:hyperlink r:id="rId96" w:tgtFrame="_blank" w:history="1">
        <w:r w:rsidRPr="00D56422">
          <w:rPr>
            <w:rFonts w:cs="Arial"/>
            <w:color w:val="0782C1"/>
            <w:sz w:val="20"/>
            <w:szCs w:val="20"/>
            <w:u w:val="single"/>
            <w:lang w:val="en-US" w:eastAsia="fr-FR"/>
          </w:rPr>
          <w:t>original: p</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37-63</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2006</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19 December 2006, </w:t>
      </w:r>
      <w:r w:rsidRPr="00D56422">
        <w:rPr>
          <w:rFonts w:cs="Arial"/>
          <w:i/>
          <w:iCs/>
          <w:color w:val="333333"/>
          <w:sz w:val="20"/>
          <w:szCs w:val="20"/>
          <w:lang w:val="en-US" w:eastAsia="fr-FR"/>
        </w:rPr>
        <w:t>Case concerning Pulp Mills on the River Uruguay (Argentina v. Uruguay)</w:t>
      </w:r>
      <w:r w:rsidRPr="00D56422">
        <w:rPr>
          <w:rFonts w:cs="Arial"/>
          <w:color w:val="333333"/>
          <w:sz w:val="20"/>
          <w:szCs w:val="20"/>
          <w:lang w:val="en-US" w:eastAsia="fr-FR"/>
        </w:rPr>
        <w:t>, Counsel and Advocate for Argentina, pleadings: "La position argentine sur la demande de l'Uruguay en indication de mesures conservatoires" (translation: "Argentina's Position on Uruguay's Request for the Indication of Provisional Measures") (CR 2006/57, </w:t>
      </w:r>
      <w:hyperlink r:id="rId97" w:tgtFrame="_blank" w:history="1">
        <w:r w:rsidRPr="00D56422">
          <w:rPr>
            <w:rFonts w:cs="Arial"/>
            <w:color w:val="0782C1"/>
            <w:sz w:val="20"/>
            <w:szCs w:val="20"/>
            <w:u w:val="single"/>
            <w:lang w:val="en-US" w:eastAsia="fr-FR"/>
          </w:rPr>
          <w:t>origina</w:t>
        </w:r>
        <w:r w:rsidRPr="00D56422">
          <w:rPr>
            <w:rFonts w:cs="Arial"/>
            <w:color w:val="0782C1"/>
            <w:sz w:val="20"/>
            <w:szCs w:val="20"/>
            <w:u w:val="single"/>
            <w:lang w:val="en-US" w:eastAsia="fr-FR"/>
          </w:rPr>
          <w:t>l</w:t>
        </w:r>
        <w:r w:rsidRPr="00D56422">
          <w:rPr>
            <w:rFonts w:cs="Arial"/>
            <w:color w:val="0782C1"/>
            <w:sz w:val="20"/>
            <w:szCs w:val="20"/>
            <w:u w:val="single"/>
            <w:lang w:val="en-US" w:eastAsia="fr-FR"/>
          </w:rPr>
          <w:t>: pp. 8-17</w:t>
        </w:r>
      </w:hyperlink>
      <w:r w:rsidRPr="00D56422">
        <w:rPr>
          <w:rFonts w:cs="Arial"/>
          <w:color w:val="333333"/>
          <w:sz w:val="20"/>
          <w:szCs w:val="20"/>
          <w:lang w:val="en-US" w:eastAsia="fr-FR"/>
        </w:rPr>
        <w:t>; </w:t>
      </w:r>
      <w:hyperlink r:id="rId98" w:tgtFrame="_blank" w:history="1">
        <w:r w:rsidRPr="00D56422">
          <w:rPr>
            <w:rFonts w:cs="Arial"/>
            <w:color w:val="0782C1"/>
            <w:sz w:val="20"/>
            <w:szCs w:val="20"/>
            <w:u w:val="single"/>
            <w:lang w:val="en-US" w:eastAsia="fr-FR"/>
          </w:rPr>
          <w:t>tra</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slation: pp. 2-16</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18 December 2006, </w:t>
      </w:r>
      <w:r w:rsidRPr="00D56422">
        <w:rPr>
          <w:rFonts w:cs="Arial"/>
          <w:i/>
          <w:iCs/>
          <w:color w:val="333333"/>
          <w:sz w:val="20"/>
          <w:szCs w:val="20"/>
          <w:lang w:val="en-US" w:eastAsia="fr-FR"/>
        </w:rPr>
        <w:t>Case concerning Pulp Mills on the River Uruguay (Argentina v. Uruguay)</w:t>
      </w:r>
      <w:r w:rsidRPr="00D56422">
        <w:rPr>
          <w:rFonts w:cs="Arial"/>
          <w:color w:val="333333"/>
          <w:sz w:val="20"/>
          <w:szCs w:val="20"/>
          <w:lang w:val="en-US" w:eastAsia="fr-FR"/>
        </w:rPr>
        <w:t>, Counsel and Advocate for Argentina, pleadings: "La demande uruguayenne de mesures conservatoires n'a aucun lien avec le Statut du fleuve Urguguay" (translation: "The Uruguay Request for the Indication of Provisional Measures has no link with the Statute of the River Uruguay") (CR 2006/55, </w:t>
      </w:r>
      <w:hyperlink r:id="rId99" w:tgtFrame="_blank" w:history="1">
        <w:r w:rsidRPr="00D56422">
          <w:rPr>
            <w:rFonts w:cs="Arial"/>
            <w:color w:val="0782C1"/>
            <w:sz w:val="20"/>
            <w:szCs w:val="20"/>
            <w:u w:val="single"/>
            <w:lang w:val="en-US" w:eastAsia="fr-FR"/>
          </w:rPr>
          <w:t>original: pp.</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1</w:t>
        </w:r>
        <w:r w:rsidRPr="00D56422">
          <w:rPr>
            <w:rFonts w:cs="Arial"/>
            <w:color w:val="0782C1"/>
            <w:sz w:val="20"/>
            <w:szCs w:val="20"/>
            <w:u w:val="single"/>
            <w:lang w:val="en-US" w:eastAsia="fr-FR"/>
          </w:rPr>
          <w:t>7</w:t>
        </w:r>
        <w:r w:rsidRPr="00D56422">
          <w:rPr>
            <w:rFonts w:cs="Arial"/>
            <w:color w:val="0782C1"/>
            <w:sz w:val="20"/>
            <w:szCs w:val="20"/>
            <w:u w:val="single"/>
            <w:lang w:val="en-US" w:eastAsia="fr-FR"/>
          </w:rPr>
          <w:t>-37</w:t>
        </w:r>
      </w:hyperlink>
      <w:r w:rsidRPr="00D56422">
        <w:rPr>
          <w:rFonts w:cs="Arial"/>
          <w:color w:val="333333"/>
          <w:sz w:val="20"/>
          <w:szCs w:val="20"/>
          <w:lang w:val="en-US" w:eastAsia="fr-FR"/>
        </w:rPr>
        <w:t>; </w:t>
      </w:r>
      <w:hyperlink r:id="rId100" w:tgtFrame="_blank" w:history="1">
        <w:r w:rsidRPr="00D56422">
          <w:rPr>
            <w:rFonts w:cs="Arial"/>
            <w:color w:val="0782C1"/>
            <w:sz w:val="20"/>
            <w:szCs w:val="20"/>
            <w:u w:val="single"/>
            <w:lang w:val="en-US" w:eastAsia="fr-FR"/>
          </w:rPr>
          <w:t>transla</w:t>
        </w:r>
        <w:r w:rsidRPr="00D56422">
          <w:rPr>
            <w:rFonts w:cs="Arial"/>
            <w:color w:val="0782C1"/>
            <w:sz w:val="20"/>
            <w:szCs w:val="20"/>
            <w:u w:val="single"/>
            <w:lang w:val="en-US" w:eastAsia="fr-FR"/>
          </w:rPr>
          <w:t>t</w:t>
        </w:r>
        <w:r w:rsidRPr="00D56422">
          <w:rPr>
            <w:rFonts w:cs="Arial"/>
            <w:color w:val="0782C1"/>
            <w:sz w:val="20"/>
            <w:szCs w:val="20"/>
            <w:u w:val="single"/>
            <w:lang w:val="en-US" w:eastAsia="fr-FR"/>
          </w:rPr>
          <w:t>i</w:t>
        </w:r>
        <w:r w:rsidRPr="00D56422">
          <w:rPr>
            <w:rFonts w:cs="Arial"/>
            <w:color w:val="0782C1"/>
            <w:sz w:val="20"/>
            <w:szCs w:val="20"/>
            <w:u w:val="single"/>
            <w:lang w:val="en-US" w:eastAsia="fr-FR"/>
          </w:rPr>
          <w:t>o</w:t>
        </w:r>
        <w:r w:rsidRPr="00D56422">
          <w:rPr>
            <w:rFonts w:cs="Arial"/>
            <w:color w:val="0782C1"/>
            <w:sz w:val="20"/>
            <w:szCs w:val="20"/>
            <w:u w:val="single"/>
            <w:lang w:val="en-US" w:eastAsia="fr-FR"/>
          </w:rPr>
          <w:t xml:space="preserve">n: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p. 11-30</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9 June 2006, </w:t>
      </w:r>
      <w:r w:rsidRPr="00D56422">
        <w:rPr>
          <w:rFonts w:cs="Arial"/>
          <w:i/>
          <w:iCs/>
          <w:color w:val="333333"/>
          <w:sz w:val="20"/>
          <w:szCs w:val="20"/>
          <w:lang w:val="en-US" w:eastAsia="fr-FR"/>
        </w:rPr>
        <w:t>Case concerning Pulp Mills on the River Uruguay (Argentina v. Uruguay)</w:t>
      </w:r>
      <w:r w:rsidRPr="00D56422">
        <w:rPr>
          <w:rFonts w:cs="Arial"/>
          <w:color w:val="333333"/>
          <w:sz w:val="20"/>
          <w:szCs w:val="20"/>
          <w:lang w:val="en-US" w:eastAsia="fr-FR"/>
        </w:rPr>
        <w:t>, Counsel and Advocate for Argentina, pleadings: "La réalité des procéures suivies par les Parties" (translation: "The Truth about the Procedures followed by the Parties") (CR 2006/48, </w:t>
      </w:r>
      <w:hyperlink r:id="rId101" w:tgtFrame="_blank" w:history="1">
        <w:r w:rsidRPr="00D56422">
          <w:rPr>
            <w:rFonts w:cs="Arial"/>
            <w:color w:val="0782C1"/>
            <w:sz w:val="20"/>
            <w:szCs w:val="20"/>
            <w:u w:val="single"/>
            <w:lang w:val="en-US" w:eastAsia="fr-FR"/>
          </w:rPr>
          <w:t>origin</w:t>
        </w:r>
        <w:r w:rsidRPr="00D56422">
          <w:rPr>
            <w:rFonts w:cs="Arial"/>
            <w:color w:val="0782C1"/>
            <w:sz w:val="20"/>
            <w:szCs w:val="20"/>
            <w:u w:val="single"/>
            <w:lang w:val="en-US" w:eastAsia="fr-FR"/>
          </w:rPr>
          <w:t>a</w:t>
        </w:r>
        <w:r w:rsidRPr="00D56422">
          <w:rPr>
            <w:rFonts w:cs="Arial"/>
            <w:color w:val="0782C1"/>
            <w:sz w:val="20"/>
            <w:szCs w:val="20"/>
            <w:u w:val="single"/>
            <w:lang w:val="en-US" w:eastAsia="fr-FR"/>
          </w:rPr>
          <w:t xml:space="preserve">l: </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xml:space="preserve">p. </w:t>
        </w:r>
        <w:r w:rsidRPr="00D56422">
          <w:rPr>
            <w:rFonts w:cs="Arial"/>
            <w:color w:val="0782C1"/>
            <w:sz w:val="20"/>
            <w:szCs w:val="20"/>
            <w:u w:val="single"/>
            <w:lang w:val="en-US" w:eastAsia="fr-FR"/>
          </w:rPr>
          <w:t>2</w:t>
        </w:r>
        <w:r w:rsidRPr="00D56422">
          <w:rPr>
            <w:rFonts w:cs="Arial"/>
            <w:color w:val="0782C1"/>
            <w:sz w:val="20"/>
            <w:szCs w:val="20"/>
            <w:u w:val="single"/>
            <w:lang w:val="en-US" w:eastAsia="fr-FR"/>
          </w:rPr>
          <w:t>1-29</w:t>
        </w:r>
      </w:hyperlink>
      <w:r w:rsidRPr="00D56422">
        <w:rPr>
          <w:rFonts w:cs="Arial"/>
          <w:color w:val="333333"/>
          <w:sz w:val="20"/>
          <w:szCs w:val="20"/>
          <w:lang w:val="en-US" w:eastAsia="fr-FR"/>
        </w:rPr>
        <w:t>; </w:t>
      </w:r>
      <w:hyperlink r:id="rId102" w:tgtFrame="_blank" w:history="1">
        <w:r w:rsidRPr="00D56422">
          <w:rPr>
            <w:rFonts w:cs="Arial"/>
            <w:color w:val="0782C1"/>
            <w:sz w:val="20"/>
            <w:szCs w:val="20"/>
            <w:u w:val="single"/>
            <w:lang w:val="en-US" w:eastAsia="fr-FR"/>
          </w:rPr>
          <w:t>tr</w:t>
        </w:r>
        <w:r w:rsidRPr="00D56422">
          <w:rPr>
            <w:rFonts w:cs="Arial"/>
            <w:color w:val="0782C1"/>
            <w:sz w:val="20"/>
            <w:szCs w:val="20"/>
            <w:u w:val="single"/>
            <w:lang w:val="en-US" w:eastAsia="fr-FR"/>
          </w:rPr>
          <w:t>a</w:t>
        </w:r>
        <w:r w:rsidRPr="00D56422">
          <w:rPr>
            <w:rFonts w:cs="Arial"/>
            <w:color w:val="0782C1"/>
            <w:sz w:val="20"/>
            <w:szCs w:val="20"/>
            <w:u w:val="single"/>
            <w:lang w:val="en-US" w:eastAsia="fr-FR"/>
          </w:rPr>
          <w:t>ns</w:t>
        </w:r>
        <w:r w:rsidRPr="00D56422">
          <w:rPr>
            <w:rFonts w:cs="Arial"/>
            <w:color w:val="0782C1"/>
            <w:sz w:val="20"/>
            <w:szCs w:val="20"/>
            <w:u w:val="single"/>
            <w:lang w:val="en-US" w:eastAsia="fr-FR"/>
          </w:rPr>
          <w:t>l</w:t>
        </w:r>
        <w:r w:rsidRPr="00D56422">
          <w:rPr>
            <w:rFonts w:cs="Arial"/>
            <w:color w:val="0782C1"/>
            <w:sz w:val="20"/>
            <w:szCs w:val="20"/>
            <w:u w:val="single"/>
            <w:lang w:val="en-US" w:eastAsia="fr-FR"/>
          </w:rPr>
          <w:t>a</w:t>
        </w:r>
        <w:r w:rsidRPr="00D56422">
          <w:rPr>
            <w:rFonts w:cs="Arial"/>
            <w:color w:val="0782C1"/>
            <w:sz w:val="20"/>
            <w:szCs w:val="20"/>
            <w:u w:val="single"/>
            <w:lang w:val="en-US" w:eastAsia="fr-FR"/>
          </w:rPr>
          <w:t>tio</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w:t>
        </w:r>
        <w:r w:rsidRPr="00D56422">
          <w:rPr>
            <w:rFonts w:cs="Arial"/>
            <w:color w:val="0782C1"/>
            <w:sz w:val="20"/>
            <w:szCs w:val="20"/>
            <w:u w:val="single"/>
            <w:lang w:val="en-US" w:eastAsia="fr-FR"/>
          </w:rPr>
          <w:t xml:space="preserve"> </w:t>
        </w:r>
        <w:r w:rsidRPr="00D56422">
          <w:rPr>
            <w:rFonts w:cs="Arial"/>
            <w:color w:val="0782C1"/>
            <w:sz w:val="20"/>
            <w:szCs w:val="20"/>
            <w:u w:val="single"/>
            <w:lang w:val="en-US" w:eastAsia="fr-FR"/>
          </w:rPr>
          <w:t>pp. 14-22</w:t>
        </w:r>
      </w:hyperlink>
      <w:r w:rsidRPr="00D56422">
        <w:rPr>
          <w:rFonts w:cs="Arial"/>
          <w:color w:val="333333"/>
          <w:sz w:val="20"/>
          <w:szCs w:val="20"/>
          <w:lang w:val="en-US" w:eastAsia="fr-FR"/>
        </w:rPr>
        <w:t>).</w:t>
      </w:r>
      <w:r w:rsidRPr="00D56422">
        <w:rPr>
          <w:rFonts w:cs="Arial"/>
          <w:color w:val="333333"/>
          <w:sz w:val="20"/>
          <w:szCs w:val="20"/>
          <w:lang w:val="en-US" w:eastAsia="fr-FR"/>
        </w:rPr>
        <w:br/>
      </w:r>
      <w:r w:rsidRPr="00D56422">
        <w:rPr>
          <w:rFonts w:cs="Arial"/>
          <w:color w:val="333333"/>
          <w:sz w:val="20"/>
          <w:szCs w:val="20"/>
          <w:lang w:val="en-US" w:eastAsia="fr-FR"/>
        </w:rPr>
        <w:br/>
        <w:t>- International Court of Justice, The Hague, 8 June 2006, </w:t>
      </w:r>
      <w:r w:rsidRPr="00D56422">
        <w:rPr>
          <w:rFonts w:cs="Arial"/>
          <w:i/>
          <w:iCs/>
          <w:color w:val="333333"/>
          <w:sz w:val="20"/>
          <w:szCs w:val="20"/>
          <w:lang w:val="en-US" w:eastAsia="fr-FR"/>
        </w:rPr>
        <w:t>Case concerning Pulp Mills on the River Uruguay (Argentina v. Uruguay)</w:t>
      </w:r>
      <w:r w:rsidRPr="00D56422">
        <w:rPr>
          <w:rFonts w:cs="Arial"/>
          <w:color w:val="333333"/>
          <w:sz w:val="20"/>
          <w:szCs w:val="20"/>
          <w:lang w:val="en-US" w:eastAsia="fr-FR"/>
        </w:rPr>
        <w:t>, Counsel and Advocate for Argentina, pleadings: "La demande de suspension des autorisations et de la construction des ouvrages" (translation: "The Request for the Suspension of Authorization and Construction of the Works") (CR 2006/46, </w:t>
      </w:r>
      <w:hyperlink r:id="rId103" w:tgtFrame="_blank" w:history="1">
        <w:r w:rsidRPr="00D56422">
          <w:rPr>
            <w:rFonts w:cs="Arial"/>
            <w:color w:val="0782C1"/>
            <w:sz w:val="20"/>
            <w:szCs w:val="20"/>
            <w:u w:val="single"/>
            <w:lang w:val="en-US" w:eastAsia="fr-FR"/>
          </w:rPr>
          <w:t>original: p</w:t>
        </w:r>
        <w:r w:rsidRPr="00D56422">
          <w:rPr>
            <w:rFonts w:cs="Arial"/>
            <w:color w:val="0782C1"/>
            <w:sz w:val="20"/>
            <w:szCs w:val="20"/>
            <w:u w:val="single"/>
            <w:lang w:val="en-US" w:eastAsia="fr-FR"/>
          </w:rPr>
          <w:t>p</w:t>
        </w:r>
        <w:r w:rsidRPr="00D56422">
          <w:rPr>
            <w:rFonts w:cs="Arial"/>
            <w:color w:val="0782C1"/>
            <w:sz w:val="20"/>
            <w:szCs w:val="20"/>
            <w:u w:val="single"/>
            <w:lang w:val="en-US" w:eastAsia="fr-FR"/>
          </w:rPr>
          <w:t>. 39-48</w:t>
        </w:r>
      </w:hyperlink>
      <w:r w:rsidRPr="00D56422">
        <w:rPr>
          <w:rFonts w:cs="Arial"/>
          <w:color w:val="333333"/>
          <w:sz w:val="20"/>
          <w:szCs w:val="20"/>
          <w:lang w:val="en-US" w:eastAsia="fr-FR"/>
        </w:rPr>
        <w:t>; </w:t>
      </w:r>
      <w:hyperlink r:id="rId104" w:tgtFrame="_blank" w:history="1">
        <w:r w:rsidRPr="00D56422">
          <w:rPr>
            <w:rFonts w:cs="Arial"/>
            <w:color w:val="0782C1"/>
            <w:sz w:val="20"/>
            <w:szCs w:val="20"/>
            <w:u w:val="single"/>
            <w:lang w:val="en-US" w:eastAsia="fr-FR"/>
          </w:rPr>
          <w:t>translatio</w:t>
        </w:r>
        <w:r w:rsidRPr="00D56422">
          <w:rPr>
            <w:rFonts w:cs="Arial"/>
            <w:color w:val="0782C1"/>
            <w:sz w:val="20"/>
            <w:szCs w:val="20"/>
            <w:u w:val="single"/>
            <w:lang w:val="en-US" w:eastAsia="fr-FR"/>
          </w:rPr>
          <w:t>n</w:t>
        </w:r>
        <w:r w:rsidRPr="00D56422">
          <w:rPr>
            <w:rFonts w:cs="Arial"/>
            <w:color w:val="0782C1"/>
            <w:sz w:val="20"/>
            <w:szCs w:val="20"/>
            <w:u w:val="single"/>
            <w:lang w:val="en-US" w:eastAsia="fr-FR"/>
          </w:rPr>
          <w:t>: pp. 33-49</w:t>
        </w:r>
      </w:hyperlink>
      <w:r w:rsidRPr="00D56422">
        <w:rPr>
          <w:rFonts w:cs="Arial"/>
          <w:color w:val="333333"/>
          <w:sz w:val="20"/>
          <w:szCs w:val="20"/>
          <w:lang w:val="en-US" w:eastAsia="fr-FR"/>
        </w:rPr>
        <w:t>).</w:t>
      </w:r>
    </w:p>
    <w:p w:rsidR="009C4FA8" w:rsidRPr="00D56422" w:rsidRDefault="009C4FA8" w:rsidP="00D56422">
      <w:pPr>
        <w:pStyle w:val="MainTitle"/>
        <w:tabs>
          <w:tab w:val="left" w:pos="1778"/>
        </w:tabs>
        <w:rPr>
          <w:lang w:val="en-US"/>
        </w:rPr>
      </w:pPr>
    </w:p>
    <w:sectPr w:rsidR="009C4FA8" w:rsidRPr="00D56422" w:rsidSect="009C4FA8">
      <w:headerReference w:type="even" r:id="rId105"/>
      <w:headerReference w:type="default" r:id="rId106"/>
      <w:footerReference w:type="even" r:id="rId107"/>
      <w:footerReference w:type="default" r:id="rId108"/>
      <w:headerReference w:type="first" r:id="rId109"/>
      <w:footerReference w:type="first" r:id="rId110"/>
      <w:pgSz w:w="11906" w:h="16838" w:code="9"/>
      <w:pgMar w:top="1418" w:right="1418" w:bottom="1440" w:left="221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56422" w:rsidRDefault="00D56422">
      <w:r>
        <w:separator/>
      </w:r>
    </w:p>
  </w:endnote>
  <w:endnote w:type="continuationSeparator" w:id="0">
    <w:p w:rsidR="00D56422" w:rsidRDefault="00D5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47LightCn">
    <w:altName w:val="Cambri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6422" w:rsidRDefault="00D5642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918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545"/>
      <w:gridCol w:w="640"/>
    </w:tblGrid>
    <w:tr w:rsidR="00273FF8" w:rsidRPr="00EA41A4" w:rsidTr="00707882">
      <w:trPr>
        <w:trHeight w:hRule="exact" w:val="198"/>
      </w:trPr>
      <w:tc>
        <w:tcPr>
          <w:tcW w:w="8651" w:type="dxa"/>
          <w:noWrap/>
          <w:tcMar>
            <w:left w:w="0" w:type="dxa"/>
            <w:right w:w="0" w:type="dxa"/>
          </w:tcMar>
        </w:tcPr>
        <w:p w:rsidR="00273FF8" w:rsidRPr="00EA41A4" w:rsidRDefault="00273FF8" w:rsidP="00773D51">
          <w:pPr>
            <w:spacing w:line="240" w:lineRule="auto"/>
            <w:rPr>
              <w:rFonts w:cs="Arial"/>
              <w:color w:val="42515A"/>
              <w:sz w:val="16"/>
              <w:lang w:val="en-US"/>
            </w:rPr>
          </w:pPr>
        </w:p>
      </w:tc>
      <w:tc>
        <w:tcPr>
          <w:tcW w:w="648" w:type="dxa"/>
          <w:noWrap/>
          <w:tcMar>
            <w:left w:w="0" w:type="dxa"/>
            <w:right w:w="0" w:type="dxa"/>
          </w:tcMar>
        </w:tcPr>
        <w:p w:rsidR="00273FF8" w:rsidRPr="00EA41A4" w:rsidRDefault="00273FF8" w:rsidP="00773D51">
          <w:pPr>
            <w:spacing w:line="240" w:lineRule="auto"/>
            <w:jc w:val="right"/>
            <w:rPr>
              <w:rFonts w:cs="Arial"/>
              <w:color w:val="42515A"/>
              <w:sz w:val="16"/>
              <w:lang w:val="en-US"/>
            </w:rPr>
          </w:pPr>
          <w:r w:rsidRPr="00EA41A4">
            <w:rPr>
              <w:rFonts w:cs="Arial"/>
              <w:color w:val="42515A"/>
              <w:sz w:val="16"/>
              <w:lang w:val="en-US"/>
            </w:rPr>
            <w:fldChar w:fldCharType="begin"/>
          </w:r>
          <w:r w:rsidRPr="00EA41A4">
            <w:rPr>
              <w:rFonts w:cs="Arial"/>
              <w:color w:val="42515A"/>
              <w:sz w:val="16"/>
              <w:lang w:val="en-US"/>
            </w:rPr>
            <w:instrText xml:space="preserve"> PAGE   \* MERGEFORMAT </w:instrText>
          </w:r>
          <w:r w:rsidRPr="00EA41A4">
            <w:rPr>
              <w:rFonts w:cs="Arial"/>
              <w:color w:val="42515A"/>
              <w:sz w:val="16"/>
              <w:lang w:val="en-US"/>
            </w:rPr>
            <w:fldChar w:fldCharType="separate"/>
          </w:r>
          <w:r>
            <w:rPr>
              <w:rFonts w:cs="Arial"/>
              <w:noProof/>
              <w:color w:val="42515A"/>
              <w:sz w:val="16"/>
              <w:lang w:val="en-US"/>
            </w:rPr>
            <w:t>1</w:t>
          </w:r>
          <w:r w:rsidRPr="00EA41A4">
            <w:rPr>
              <w:rFonts w:cs="Arial"/>
              <w:color w:val="42515A"/>
              <w:sz w:val="16"/>
              <w:lang w:val="en-US"/>
            </w:rPr>
            <w:fldChar w:fldCharType="end"/>
          </w:r>
          <w:r w:rsidRPr="00EA41A4">
            <w:rPr>
              <w:rFonts w:cs="Arial"/>
              <w:color w:val="42515A"/>
              <w:sz w:val="16"/>
              <w:lang w:val="en-US"/>
            </w:rPr>
            <w:t xml:space="preserve"> | </w:t>
          </w:r>
          <w:r w:rsidRPr="00EA41A4">
            <w:rPr>
              <w:rFonts w:cs="Arial"/>
              <w:color w:val="42515A"/>
              <w:sz w:val="16"/>
              <w:lang w:val="en-US"/>
            </w:rPr>
            <w:fldChar w:fldCharType="begin"/>
          </w:r>
          <w:r w:rsidRPr="00EA41A4">
            <w:rPr>
              <w:rFonts w:cs="Arial"/>
              <w:color w:val="42515A"/>
              <w:sz w:val="16"/>
              <w:lang w:val="en-US"/>
            </w:rPr>
            <w:instrText xml:space="preserve"> NUMPAGES  \* Arabic  \* MERGEFORMAT </w:instrText>
          </w:r>
          <w:r w:rsidRPr="00EA41A4">
            <w:rPr>
              <w:rFonts w:cs="Arial"/>
              <w:color w:val="42515A"/>
              <w:sz w:val="16"/>
              <w:lang w:val="en-US"/>
            </w:rPr>
            <w:fldChar w:fldCharType="separate"/>
          </w:r>
          <w:r>
            <w:rPr>
              <w:rFonts w:cs="Arial"/>
              <w:noProof/>
              <w:color w:val="42515A"/>
              <w:sz w:val="16"/>
              <w:lang w:val="en-US"/>
            </w:rPr>
            <w:t>1</w:t>
          </w:r>
          <w:r w:rsidRPr="00EA41A4">
            <w:rPr>
              <w:rFonts w:cs="Arial"/>
              <w:color w:val="42515A"/>
              <w:sz w:val="16"/>
              <w:lang w:val="en-US"/>
            </w:rPr>
            <w:fldChar w:fldCharType="end"/>
          </w:r>
        </w:p>
      </w:tc>
    </w:tr>
    <w:tr w:rsidR="00273FF8" w:rsidRPr="00EA41A4" w:rsidTr="00707882">
      <w:trPr>
        <w:trHeight w:hRule="exact" w:val="198"/>
      </w:trPr>
      <w:tc>
        <w:tcPr>
          <w:tcW w:w="8651" w:type="dxa"/>
          <w:noWrap/>
          <w:tcMar>
            <w:left w:w="0" w:type="dxa"/>
            <w:right w:w="0" w:type="dxa"/>
          </w:tcMar>
        </w:tcPr>
        <w:p w:rsidR="00273FF8" w:rsidRPr="00EA41A4" w:rsidRDefault="00273FF8" w:rsidP="00773D51">
          <w:pPr>
            <w:spacing w:line="240" w:lineRule="auto"/>
            <w:rPr>
              <w:rFonts w:cs="Arial"/>
              <w:color w:val="42515A"/>
              <w:sz w:val="16"/>
              <w:lang w:val="en-US"/>
            </w:rPr>
          </w:pPr>
        </w:p>
      </w:tc>
      <w:tc>
        <w:tcPr>
          <w:tcW w:w="648" w:type="dxa"/>
          <w:noWrap/>
          <w:tcMar>
            <w:left w:w="0" w:type="dxa"/>
            <w:right w:w="0" w:type="dxa"/>
          </w:tcMar>
        </w:tcPr>
        <w:p w:rsidR="00273FF8" w:rsidRPr="00EA41A4" w:rsidRDefault="00273FF8" w:rsidP="00773D51">
          <w:pPr>
            <w:spacing w:line="240" w:lineRule="auto"/>
            <w:jc w:val="right"/>
            <w:rPr>
              <w:rFonts w:cs="Arial"/>
              <w:color w:val="42515A"/>
              <w:sz w:val="16"/>
              <w:lang w:val="en-US"/>
            </w:rPr>
          </w:pPr>
        </w:p>
      </w:tc>
    </w:tr>
  </w:tbl>
  <w:p w:rsidR="00273FF8" w:rsidRPr="00571AA1" w:rsidRDefault="00273FF8" w:rsidP="00773D51">
    <w:pPr>
      <w:pStyle w:val="Pieddepag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918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545"/>
      <w:gridCol w:w="640"/>
    </w:tblGrid>
    <w:tr w:rsidR="00273FF8" w:rsidRPr="00EA41A4" w:rsidTr="00773D51">
      <w:trPr>
        <w:trHeight w:hRule="exact" w:val="198"/>
      </w:trPr>
      <w:tc>
        <w:tcPr>
          <w:tcW w:w="8651" w:type="dxa"/>
          <w:noWrap/>
          <w:tcMar>
            <w:left w:w="0" w:type="dxa"/>
            <w:right w:w="0" w:type="dxa"/>
          </w:tcMar>
        </w:tcPr>
        <w:p w:rsidR="00273FF8" w:rsidRPr="00EA41A4" w:rsidRDefault="00273FF8" w:rsidP="00346B6A">
          <w:pPr>
            <w:spacing w:line="240" w:lineRule="auto"/>
            <w:rPr>
              <w:rFonts w:cs="Arial"/>
              <w:color w:val="42515A"/>
              <w:sz w:val="16"/>
              <w:lang w:val="en-US"/>
            </w:rPr>
          </w:pPr>
          <w:r w:rsidRPr="00EA41A4">
            <w:rPr>
              <w:rFonts w:cs="Arial"/>
              <w:color w:val="42515A"/>
              <w:sz w:val="16"/>
              <w:lang w:val="en-US"/>
            </w:rPr>
            <w:t xml:space="preserve">03.08.2016  |    |  </w:t>
          </w:r>
        </w:p>
      </w:tc>
      <w:tc>
        <w:tcPr>
          <w:tcW w:w="648" w:type="dxa"/>
          <w:noWrap/>
          <w:tcMar>
            <w:left w:w="0" w:type="dxa"/>
            <w:right w:w="0" w:type="dxa"/>
          </w:tcMar>
        </w:tcPr>
        <w:p w:rsidR="00273FF8" w:rsidRPr="00EA41A4" w:rsidRDefault="00273FF8" w:rsidP="00346B6A">
          <w:pPr>
            <w:spacing w:line="240" w:lineRule="auto"/>
            <w:jc w:val="right"/>
            <w:rPr>
              <w:rFonts w:cs="Arial"/>
              <w:color w:val="42515A"/>
              <w:sz w:val="16"/>
              <w:lang w:val="en-US"/>
            </w:rPr>
          </w:pPr>
          <w:r w:rsidRPr="00EA41A4">
            <w:rPr>
              <w:rFonts w:cs="Arial"/>
              <w:color w:val="42515A"/>
              <w:sz w:val="16"/>
              <w:lang w:val="en-US"/>
            </w:rPr>
            <w:fldChar w:fldCharType="begin"/>
          </w:r>
          <w:r w:rsidRPr="00EA41A4">
            <w:rPr>
              <w:rFonts w:cs="Arial"/>
              <w:color w:val="42515A"/>
              <w:sz w:val="16"/>
              <w:lang w:val="en-US"/>
            </w:rPr>
            <w:instrText xml:space="preserve"> PAGE   \* MERGEFORMAT </w:instrText>
          </w:r>
          <w:r w:rsidRPr="00EA41A4">
            <w:rPr>
              <w:rFonts w:cs="Arial"/>
              <w:color w:val="42515A"/>
              <w:sz w:val="16"/>
              <w:lang w:val="en-US"/>
            </w:rPr>
            <w:fldChar w:fldCharType="separate"/>
          </w:r>
          <w:r w:rsidR="00537F22">
            <w:rPr>
              <w:rFonts w:cs="Arial"/>
              <w:noProof/>
              <w:color w:val="42515A"/>
              <w:sz w:val="16"/>
              <w:lang w:val="en-US"/>
            </w:rPr>
            <w:t>1</w:t>
          </w:r>
          <w:r w:rsidRPr="00EA41A4">
            <w:rPr>
              <w:rFonts w:cs="Arial"/>
              <w:color w:val="42515A"/>
              <w:sz w:val="16"/>
              <w:lang w:val="en-US"/>
            </w:rPr>
            <w:fldChar w:fldCharType="end"/>
          </w:r>
          <w:r w:rsidRPr="00EA41A4">
            <w:rPr>
              <w:rFonts w:cs="Arial"/>
              <w:color w:val="42515A"/>
              <w:sz w:val="16"/>
              <w:lang w:val="en-US"/>
            </w:rPr>
            <w:t xml:space="preserve"> | </w:t>
          </w:r>
          <w:r w:rsidRPr="00EA41A4">
            <w:rPr>
              <w:rFonts w:cs="Arial"/>
              <w:color w:val="42515A"/>
              <w:sz w:val="16"/>
              <w:lang w:val="en-US"/>
            </w:rPr>
            <w:fldChar w:fldCharType="begin"/>
          </w:r>
          <w:r w:rsidRPr="00EA41A4">
            <w:rPr>
              <w:rFonts w:cs="Arial"/>
              <w:color w:val="42515A"/>
              <w:sz w:val="16"/>
              <w:lang w:val="en-US"/>
            </w:rPr>
            <w:instrText xml:space="preserve"> NUMPAGES  \* Arabic  \* MERGEFORMAT </w:instrText>
          </w:r>
          <w:r w:rsidRPr="00EA41A4">
            <w:rPr>
              <w:rFonts w:cs="Arial"/>
              <w:color w:val="42515A"/>
              <w:sz w:val="16"/>
              <w:lang w:val="en-US"/>
            </w:rPr>
            <w:fldChar w:fldCharType="separate"/>
          </w:r>
          <w:r w:rsidR="00537F22">
            <w:rPr>
              <w:rFonts w:cs="Arial"/>
              <w:noProof/>
              <w:color w:val="42515A"/>
              <w:sz w:val="16"/>
              <w:lang w:val="en-US"/>
            </w:rPr>
            <w:t>1</w:t>
          </w:r>
          <w:r w:rsidRPr="00EA41A4">
            <w:rPr>
              <w:rFonts w:cs="Arial"/>
              <w:color w:val="42515A"/>
              <w:sz w:val="16"/>
              <w:lang w:val="en-US"/>
            </w:rPr>
            <w:fldChar w:fldCharType="end"/>
          </w:r>
        </w:p>
      </w:tc>
    </w:tr>
    <w:tr w:rsidR="00273FF8" w:rsidRPr="00EA41A4" w:rsidTr="00773D51">
      <w:trPr>
        <w:trHeight w:hRule="exact" w:val="198"/>
      </w:trPr>
      <w:tc>
        <w:tcPr>
          <w:tcW w:w="8651" w:type="dxa"/>
          <w:noWrap/>
          <w:tcMar>
            <w:left w:w="0" w:type="dxa"/>
            <w:right w:w="0" w:type="dxa"/>
          </w:tcMar>
        </w:tcPr>
        <w:p w:rsidR="00273FF8" w:rsidRPr="009969BB" w:rsidRDefault="00273FF8" w:rsidP="00346B6A">
          <w:pPr>
            <w:spacing w:line="240" w:lineRule="auto"/>
            <w:rPr>
              <w:rFonts w:cs="Arial"/>
              <w:color w:val="42515A"/>
              <w:sz w:val="16"/>
            </w:rPr>
          </w:pPr>
          <w:r w:rsidRPr="00EA41A4">
            <w:rPr>
              <w:rFonts w:cs="Arial"/>
              <w:color w:val="42515A"/>
              <w:sz w:val="16"/>
              <w:lang w:val="fr-FR"/>
            </w:rPr>
            <w:fldChar w:fldCharType="begin"/>
          </w:r>
          <w:r w:rsidRPr="009969BB">
            <w:rPr>
              <w:rFonts w:cs="Arial"/>
              <w:color w:val="42515A"/>
              <w:sz w:val="16"/>
            </w:rPr>
            <w:instrText xml:space="preserve"> FILENAME  \p  \* MERGEFORMAT </w:instrText>
          </w:r>
          <w:r w:rsidRPr="00EA41A4">
            <w:rPr>
              <w:rFonts w:cs="Arial"/>
              <w:color w:val="42515A"/>
              <w:sz w:val="16"/>
              <w:lang w:val="fr-FR"/>
            </w:rPr>
            <w:fldChar w:fldCharType="separate"/>
          </w:r>
          <w:r w:rsidR="00D56422">
            <w:rPr>
              <w:rFonts w:cs="Arial"/>
              <w:noProof/>
              <w:color w:val="42515A"/>
              <w:sz w:val="16"/>
            </w:rPr>
            <w:t>Document7</w:t>
          </w:r>
          <w:r w:rsidRPr="00EA41A4">
            <w:rPr>
              <w:rFonts w:cs="Arial"/>
              <w:color w:val="42515A"/>
              <w:sz w:val="16"/>
              <w:lang w:val="fr-FR"/>
            </w:rPr>
            <w:fldChar w:fldCharType="end"/>
          </w:r>
        </w:p>
      </w:tc>
      <w:tc>
        <w:tcPr>
          <w:tcW w:w="648" w:type="dxa"/>
          <w:noWrap/>
          <w:tcMar>
            <w:left w:w="0" w:type="dxa"/>
            <w:right w:w="0" w:type="dxa"/>
          </w:tcMar>
        </w:tcPr>
        <w:p w:rsidR="00273FF8" w:rsidRPr="009969BB" w:rsidRDefault="00273FF8" w:rsidP="00346B6A">
          <w:pPr>
            <w:spacing w:line="240" w:lineRule="auto"/>
            <w:jc w:val="right"/>
            <w:rPr>
              <w:rFonts w:cs="Arial"/>
              <w:color w:val="42515A"/>
              <w:sz w:val="16"/>
            </w:rPr>
          </w:pPr>
        </w:p>
      </w:tc>
    </w:tr>
  </w:tbl>
  <w:p w:rsidR="00273FF8" w:rsidRPr="009969BB" w:rsidRDefault="00273FF8" w:rsidP="00635AFE">
    <w:pPr>
      <w:pStyle w:val="Pieddepage"/>
      <w:ind w:left="-1559"/>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56422" w:rsidRDefault="00D56422" w:rsidP="007C4F08">
      <w:pPr>
        <w:pStyle w:val="NBP"/>
      </w:pPr>
      <w:r w:rsidRPr="007C4F08">
        <w:separator/>
      </w:r>
    </w:p>
  </w:footnote>
  <w:footnote w:type="continuationSeparator" w:id="0">
    <w:p w:rsidR="00D56422" w:rsidRDefault="00D56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6422" w:rsidRDefault="00D5642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6422" w:rsidRDefault="00D5642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73FF8" w:rsidRPr="004830B5" w:rsidRDefault="00273FF8" w:rsidP="004830B5">
    <w:pPr>
      <w:pStyle w:val="En-tte"/>
      <w:rPr>
        <w:sz w:val="2"/>
        <w:szCs w:val="2"/>
      </w:rPr>
    </w:pPr>
    <w:r>
      <w:rPr>
        <w:rFonts w:ascii="Frutiger 47LightCn" w:hAnsi="Frutiger 47LightCn"/>
        <w:b/>
        <w:noProof/>
        <w:lang w:val="fr-FR" w:eastAsia="fr-FR"/>
      </w:rPr>
      <w:drawing>
        <wp:anchor distT="0" distB="180340" distL="114300" distR="114300" simplePos="0" relativeHeight="251658752" behindDoc="0" locked="0" layoutInCell="1" allowOverlap="1" wp14:anchorId="7FF4A25C" wp14:editId="67059131">
          <wp:simplePos x="0" y="0"/>
          <wp:positionH relativeFrom="page">
            <wp:posOffset>360045</wp:posOffset>
          </wp:positionH>
          <wp:positionV relativeFrom="page">
            <wp:posOffset>360045</wp:posOffset>
          </wp:positionV>
          <wp:extent cx="1918800" cy="864000"/>
          <wp:effectExtent l="0" t="0" r="5715"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HEID_templates_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86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F2A8C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527F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C0A7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F23A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9471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B0BD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D060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707C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C489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9426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E1F4E"/>
    <w:multiLevelType w:val="multilevel"/>
    <w:tmpl w:val="BECE65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upperLetter"/>
      <w:lvlRestart w:val="0"/>
      <w:lvlText w:val="%3"/>
      <w:lvlJc w:val="left"/>
      <w:pPr>
        <w:ind w:left="1224" w:hanging="504"/>
      </w:pPr>
      <w:rPr>
        <w:rFonts w:hint="default"/>
      </w:rPr>
    </w:lvl>
    <w:lvl w:ilvl="3">
      <w:start w:val="1"/>
      <w:numFmt w:val="decimal"/>
      <w:lvlText w:val="%1.%2.%3.%4."/>
      <w:lvlJc w:val="left"/>
      <w:pPr>
        <w:ind w:left="0" w:firstLine="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6E82A3A"/>
    <w:multiLevelType w:val="hybridMultilevel"/>
    <w:tmpl w:val="6A909280"/>
    <w:lvl w:ilvl="0" w:tplc="732A943A">
      <w:start w:val="1"/>
      <w:numFmt w:val="bullet"/>
      <w:pStyle w:val="Dcision"/>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EBF7433"/>
    <w:multiLevelType w:val="hybridMultilevel"/>
    <w:tmpl w:val="A91C29C8"/>
    <w:lvl w:ilvl="0" w:tplc="74B00B48">
      <w:start w:val="1"/>
      <w:numFmt w:val="decimal"/>
      <w:lvlText w:val="%1."/>
      <w:lvlJc w:val="righ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17DB709B"/>
    <w:multiLevelType w:val="hybridMultilevel"/>
    <w:tmpl w:val="63AAED2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1C3D7B65"/>
    <w:multiLevelType w:val="multilevel"/>
    <w:tmpl w:val="F378F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upperLetter"/>
      <w:lvlRestart w:val="0"/>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D705937"/>
    <w:multiLevelType w:val="multilevel"/>
    <w:tmpl w:val="6426A0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upperLetter"/>
      <w:lvlRestart w:val="0"/>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B53E4F"/>
    <w:multiLevelType w:val="multilevel"/>
    <w:tmpl w:val="F954AE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upperLetter"/>
      <w:lvlRestart w:val="0"/>
      <w:lvlText w:val="%3"/>
      <w:lvlJc w:val="left"/>
      <w:pPr>
        <w:ind w:left="1224" w:hanging="504"/>
      </w:pPr>
      <w:rPr>
        <w:rFonts w:hint="default"/>
      </w:rPr>
    </w:lvl>
    <w:lvl w:ilvl="3">
      <w:start w:val="1"/>
      <w:numFmt w:val="decimal"/>
      <w:suff w:val="space"/>
      <w:lvlText w:val="%1.%2.%3.%4."/>
      <w:lvlJc w:val="left"/>
      <w:pPr>
        <w:ind w:left="0" w:firstLine="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5E55C8E"/>
    <w:multiLevelType w:val="multilevel"/>
    <w:tmpl w:val="E6888D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upperLetter"/>
      <w:lvlRestart w:val="0"/>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E02312"/>
    <w:multiLevelType w:val="multilevel"/>
    <w:tmpl w:val="5D38BCE4"/>
    <w:lvl w:ilvl="0">
      <w:start w:val="1"/>
      <w:numFmt w:val="decimal"/>
      <w:pStyle w:val="Titre1"/>
      <w:suff w:val="space"/>
      <w:lvlText w:val="%1."/>
      <w:lvlJc w:val="left"/>
      <w:pPr>
        <w:ind w:left="0" w:firstLine="0"/>
      </w:pPr>
      <w:rPr>
        <w:rFonts w:hint="default"/>
      </w:rPr>
    </w:lvl>
    <w:lvl w:ilvl="1">
      <w:start w:val="1"/>
      <w:numFmt w:val="decimal"/>
      <w:pStyle w:val="Titre2"/>
      <w:suff w:val="space"/>
      <w:lvlText w:val="%1.%2."/>
      <w:lvlJc w:val="left"/>
      <w:pPr>
        <w:ind w:left="0" w:firstLine="0"/>
      </w:pPr>
      <w:rPr>
        <w:rFonts w:hint="default"/>
      </w:rPr>
    </w:lvl>
    <w:lvl w:ilvl="2">
      <w:start w:val="1"/>
      <w:numFmt w:val="decimal"/>
      <w:pStyle w:val="Titre3"/>
      <w:suff w:val="space"/>
      <w:lvlText w:val="%1.%2.%3."/>
      <w:lvlJc w:val="left"/>
      <w:pPr>
        <w:ind w:left="0" w:firstLine="0"/>
      </w:pPr>
      <w:rPr>
        <w:rFonts w:hint="default"/>
      </w:rPr>
    </w:lvl>
    <w:lvl w:ilvl="3">
      <w:start w:val="1"/>
      <w:numFmt w:val="decimal"/>
      <w:pStyle w:val="Titre4"/>
      <w:suff w:val="space"/>
      <w:lvlText w:val="%1.%2.%3.%4"/>
      <w:lvlJc w:val="left"/>
      <w:pPr>
        <w:ind w:left="0" w:firstLine="0"/>
      </w:pPr>
      <w:rPr>
        <w:rFonts w:hint="default"/>
      </w:rPr>
    </w:lvl>
    <w:lvl w:ilvl="4">
      <w:start w:val="1"/>
      <w:numFmt w:val="none"/>
      <w:suff w:val="space"/>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9" w15:restartNumberingAfterBreak="0">
    <w:nsid w:val="4F430537"/>
    <w:multiLevelType w:val="hybridMultilevel"/>
    <w:tmpl w:val="758860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3580B9F"/>
    <w:multiLevelType w:val="hybridMultilevel"/>
    <w:tmpl w:val="8A0A3D58"/>
    <w:lvl w:ilvl="0" w:tplc="A1A0F24A">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7E94469E"/>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5"/>
  </w:num>
  <w:num w:numId="3">
    <w:abstractNumId w:val="15"/>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5"/>
  </w:num>
  <w:num w:numId="17">
    <w:abstractNumId w:val="15"/>
  </w:num>
  <w:num w:numId="18">
    <w:abstractNumId w:val="12"/>
  </w:num>
  <w:num w:numId="19">
    <w:abstractNumId w:val="17"/>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4"/>
  </w:num>
  <w:num w:numId="24">
    <w:abstractNumId w:val="16"/>
  </w:num>
  <w:num w:numId="25">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upperLetter"/>
        <w:lvlRestart w:val="0"/>
        <w:lvlText w:val="%3)"/>
        <w:lvlJc w:val="left"/>
        <w:pPr>
          <w:ind w:left="0" w:firstLine="720"/>
        </w:pPr>
        <w:rPr>
          <w:rFonts w:hint="default"/>
        </w:rPr>
      </w:lvl>
    </w:lvlOverride>
    <w:lvlOverride w:ilvl="3">
      <w:lvl w:ilvl="3">
        <w:start w:val="1"/>
        <w:numFmt w:val="decimal"/>
        <w:suff w:val="space"/>
        <w:lvlText w:val="%1.%2.%3.%4."/>
        <w:lvlJc w:val="left"/>
        <w:pPr>
          <w:ind w:left="0" w:firstLine="108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5"/>
  </w:num>
  <w:num w:numId="27">
    <w:abstractNumId w:val="15"/>
  </w:num>
  <w:num w:numId="28">
    <w:abstractNumId w:val="15"/>
  </w:num>
  <w:num w:numId="29">
    <w:abstractNumId w:val="15"/>
  </w:num>
  <w:num w:numId="30">
    <w:abstractNumId w:val="15"/>
  </w:num>
  <w:num w:numId="31">
    <w:abstractNumId w:val="18"/>
  </w:num>
  <w:num w:numId="32">
    <w:abstractNumId w:val="20"/>
  </w:num>
  <w:num w:numId="33">
    <w:abstractNumId w:val="18"/>
  </w:num>
  <w:num w:numId="34">
    <w:abstractNumId w:val="11"/>
  </w:num>
  <w:num w:numId="35">
    <w:abstractNumId w:val="21"/>
  </w:num>
  <w:num w:numId="36">
    <w:abstractNumId w:val="1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422"/>
    <w:rsid w:val="000157D3"/>
    <w:rsid w:val="00030E46"/>
    <w:rsid w:val="00034950"/>
    <w:rsid w:val="00035879"/>
    <w:rsid w:val="000367C3"/>
    <w:rsid w:val="00037B33"/>
    <w:rsid w:val="00037F56"/>
    <w:rsid w:val="000425C5"/>
    <w:rsid w:val="000442B5"/>
    <w:rsid w:val="00057D5E"/>
    <w:rsid w:val="000704AE"/>
    <w:rsid w:val="00090E32"/>
    <w:rsid w:val="000A45AF"/>
    <w:rsid w:val="000C023D"/>
    <w:rsid w:val="000C7446"/>
    <w:rsid w:val="000D1CBC"/>
    <w:rsid w:val="000D2668"/>
    <w:rsid w:val="000D50E6"/>
    <w:rsid w:val="000E2F94"/>
    <w:rsid w:val="000F3010"/>
    <w:rsid w:val="000F4F4D"/>
    <w:rsid w:val="00103AD8"/>
    <w:rsid w:val="00113C4C"/>
    <w:rsid w:val="00115898"/>
    <w:rsid w:val="00126A63"/>
    <w:rsid w:val="0014532B"/>
    <w:rsid w:val="001537FA"/>
    <w:rsid w:val="00171944"/>
    <w:rsid w:val="001842E8"/>
    <w:rsid w:val="00192334"/>
    <w:rsid w:val="001946D1"/>
    <w:rsid w:val="0019739F"/>
    <w:rsid w:val="001B755B"/>
    <w:rsid w:val="001B7CDD"/>
    <w:rsid w:val="001D284C"/>
    <w:rsid w:val="001D3AC1"/>
    <w:rsid w:val="001D463E"/>
    <w:rsid w:val="001F3371"/>
    <w:rsid w:val="001F4356"/>
    <w:rsid w:val="001F7299"/>
    <w:rsid w:val="00206871"/>
    <w:rsid w:val="00207F8F"/>
    <w:rsid w:val="00216A68"/>
    <w:rsid w:val="002363C0"/>
    <w:rsid w:val="00243F7A"/>
    <w:rsid w:val="002448B4"/>
    <w:rsid w:val="00245C65"/>
    <w:rsid w:val="00251046"/>
    <w:rsid w:val="002635CF"/>
    <w:rsid w:val="00267F9B"/>
    <w:rsid w:val="00270850"/>
    <w:rsid w:val="00273A7E"/>
    <w:rsid w:val="00273FF8"/>
    <w:rsid w:val="002877B7"/>
    <w:rsid w:val="00291634"/>
    <w:rsid w:val="002A7197"/>
    <w:rsid w:val="002E3837"/>
    <w:rsid w:val="002E69EC"/>
    <w:rsid w:val="002F7BC8"/>
    <w:rsid w:val="0031177A"/>
    <w:rsid w:val="00314BA0"/>
    <w:rsid w:val="00326EE9"/>
    <w:rsid w:val="00343038"/>
    <w:rsid w:val="00346B6A"/>
    <w:rsid w:val="00356795"/>
    <w:rsid w:val="00362EE2"/>
    <w:rsid w:val="0037609E"/>
    <w:rsid w:val="00382649"/>
    <w:rsid w:val="00384408"/>
    <w:rsid w:val="003914C7"/>
    <w:rsid w:val="003973D4"/>
    <w:rsid w:val="003A0FDD"/>
    <w:rsid w:val="003A417A"/>
    <w:rsid w:val="003C1519"/>
    <w:rsid w:val="003C3F41"/>
    <w:rsid w:val="003C7DF6"/>
    <w:rsid w:val="003D1A41"/>
    <w:rsid w:val="003D4583"/>
    <w:rsid w:val="00423CAD"/>
    <w:rsid w:val="0042625E"/>
    <w:rsid w:val="00431263"/>
    <w:rsid w:val="00433CF7"/>
    <w:rsid w:val="00443CC6"/>
    <w:rsid w:val="00453788"/>
    <w:rsid w:val="004640F0"/>
    <w:rsid w:val="00476BAF"/>
    <w:rsid w:val="004830B5"/>
    <w:rsid w:val="00485923"/>
    <w:rsid w:val="004931A1"/>
    <w:rsid w:val="004A6A9E"/>
    <w:rsid w:val="004B1290"/>
    <w:rsid w:val="004B1873"/>
    <w:rsid w:val="004B5FE4"/>
    <w:rsid w:val="004C1FF4"/>
    <w:rsid w:val="004E2A39"/>
    <w:rsid w:val="004E6BA7"/>
    <w:rsid w:val="0050105C"/>
    <w:rsid w:val="0050284A"/>
    <w:rsid w:val="00525EB3"/>
    <w:rsid w:val="00537F22"/>
    <w:rsid w:val="005401FC"/>
    <w:rsid w:val="00560501"/>
    <w:rsid w:val="00561117"/>
    <w:rsid w:val="00561EAC"/>
    <w:rsid w:val="00562236"/>
    <w:rsid w:val="00562ECB"/>
    <w:rsid w:val="0056495D"/>
    <w:rsid w:val="00566A14"/>
    <w:rsid w:val="00571AA1"/>
    <w:rsid w:val="00587539"/>
    <w:rsid w:val="005C1442"/>
    <w:rsid w:val="005C3E9A"/>
    <w:rsid w:val="005C5BE8"/>
    <w:rsid w:val="005E0119"/>
    <w:rsid w:val="005E51C4"/>
    <w:rsid w:val="005F1979"/>
    <w:rsid w:val="005F3B77"/>
    <w:rsid w:val="00605C95"/>
    <w:rsid w:val="006164AB"/>
    <w:rsid w:val="006240FD"/>
    <w:rsid w:val="006333A5"/>
    <w:rsid w:val="00635AFE"/>
    <w:rsid w:val="00641524"/>
    <w:rsid w:val="00646BED"/>
    <w:rsid w:val="0066613E"/>
    <w:rsid w:val="0068045A"/>
    <w:rsid w:val="00681E2A"/>
    <w:rsid w:val="006852EE"/>
    <w:rsid w:val="00690FC7"/>
    <w:rsid w:val="00697190"/>
    <w:rsid w:val="006A3D8F"/>
    <w:rsid w:val="006B2F78"/>
    <w:rsid w:val="006C0013"/>
    <w:rsid w:val="006C5A44"/>
    <w:rsid w:val="006D39C4"/>
    <w:rsid w:val="006D7CA4"/>
    <w:rsid w:val="006E72EF"/>
    <w:rsid w:val="006F0FF4"/>
    <w:rsid w:val="006F57F7"/>
    <w:rsid w:val="006F7AC5"/>
    <w:rsid w:val="00701577"/>
    <w:rsid w:val="0070733C"/>
    <w:rsid w:val="007073A5"/>
    <w:rsid w:val="00707882"/>
    <w:rsid w:val="007146B8"/>
    <w:rsid w:val="00716973"/>
    <w:rsid w:val="00721D83"/>
    <w:rsid w:val="00723655"/>
    <w:rsid w:val="00724B56"/>
    <w:rsid w:val="00730CF0"/>
    <w:rsid w:val="00731DFE"/>
    <w:rsid w:val="00741ED9"/>
    <w:rsid w:val="0074512A"/>
    <w:rsid w:val="00756FF4"/>
    <w:rsid w:val="007635E0"/>
    <w:rsid w:val="00773D51"/>
    <w:rsid w:val="007767F3"/>
    <w:rsid w:val="0078640E"/>
    <w:rsid w:val="00793244"/>
    <w:rsid w:val="00794E7D"/>
    <w:rsid w:val="00795306"/>
    <w:rsid w:val="00797B2A"/>
    <w:rsid w:val="007B6BC9"/>
    <w:rsid w:val="007C1C7F"/>
    <w:rsid w:val="007C1D18"/>
    <w:rsid w:val="007C235B"/>
    <w:rsid w:val="007C4F08"/>
    <w:rsid w:val="007E2693"/>
    <w:rsid w:val="007E3EA0"/>
    <w:rsid w:val="007F1E67"/>
    <w:rsid w:val="0080164A"/>
    <w:rsid w:val="008217FE"/>
    <w:rsid w:val="008256A2"/>
    <w:rsid w:val="00831355"/>
    <w:rsid w:val="00835CB7"/>
    <w:rsid w:val="008438BB"/>
    <w:rsid w:val="008601D2"/>
    <w:rsid w:val="00862169"/>
    <w:rsid w:val="008635B1"/>
    <w:rsid w:val="008719ED"/>
    <w:rsid w:val="00882A5B"/>
    <w:rsid w:val="008834E5"/>
    <w:rsid w:val="00885653"/>
    <w:rsid w:val="00895ABD"/>
    <w:rsid w:val="008B7184"/>
    <w:rsid w:val="008D7A1D"/>
    <w:rsid w:val="008F2323"/>
    <w:rsid w:val="009002FC"/>
    <w:rsid w:val="0090766B"/>
    <w:rsid w:val="00912118"/>
    <w:rsid w:val="0092295F"/>
    <w:rsid w:val="00924800"/>
    <w:rsid w:val="00927929"/>
    <w:rsid w:val="00935CE3"/>
    <w:rsid w:val="009430EC"/>
    <w:rsid w:val="009532EA"/>
    <w:rsid w:val="009548B2"/>
    <w:rsid w:val="00966D9E"/>
    <w:rsid w:val="009723F5"/>
    <w:rsid w:val="00995CBA"/>
    <w:rsid w:val="009969BB"/>
    <w:rsid w:val="009A1DCD"/>
    <w:rsid w:val="009A23CF"/>
    <w:rsid w:val="009B3FF4"/>
    <w:rsid w:val="009C3749"/>
    <w:rsid w:val="009C4FA8"/>
    <w:rsid w:val="009D101E"/>
    <w:rsid w:val="009F0B58"/>
    <w:rsid w:val="009F4E69"/>
    <w:rsid w:val="00A13DF6"/>
    <w:rsid w:val="00A16C7D"/>
    <w:rsid w:val="00A22CD0"/>
    <w:rsid w:val="00A30DE4"/>
    <w:rsid w:val="00A4472F"/>
    <w:rsid w:val="00A47450"/>
    <w:rsid w:val="00A47770"/>
    <w:rsid w:val="00A54BFD"/>
    <w:rsid w:val="00A64C61"/>
    <w:rsid w:val="00A77BEB"/>
    <w:rsid w:val="00A91997"/>
    <w:rsid w:val="00A958A2"/>
    <w:rsid w:val="00AB2529"/>
    <w:rsid w:val="00AB77D2"/>
    <w:rsid w:val="00AB7F2E"/>
    <w:rsid w:val="00AC0F8F"/>
    <w:rsid w:val="00AD54CE"/>
    <w:rsid w:val="00AD6AB5"/>
    <w:rsid w:val="00AE3E07"/>
    <w:rsid w:val="00AE689F"/>
    <w:rsid w:val="00AF2241"/>
    <w:rsid w:val="00AF3F04"/>
    <w:rsid w:val="00AF44E4"/>
    <w:rsid w:val="00AF7AC7"/>
    <w:rsid w:val="00B06C8A"/>
    <w:rsid w:val="00B2461C"/>
    <w:rsid w:val="00B3083C"/>
    <w:rsid w:val="00B37606"/>
    <w:rsid w:val="00B442F7"/>
    <w:rsid w:val="00B44CAA"/>
    <w:rsid w:val="00B45529"/>
    <w:rsid w:val="00B46524"/>
    <w:rsid w:val="00B61935"/>
    <w:rsid w:val="00B719E5"/>
    <w:rsid w:val="00B76EA1"/>
    <w:rsid w:val="00B81C73"/>
    <w:rsid w:val="00BA6E44"/>
    <w:rsid w:val="00BB4895"/>
    <w:rsid w:val="00BB4924"/>
    <w:rsid w:val="00BD303B"/>
    <w:rsid w:val="00BF5181"/>
    <w:rsid w:val="00C03895"/>
    <w:rsid w:val="00C038B9"/>
    <w:rsid w:val="00C0433F"/>
    <w:rsid w:val="00C23298"/>
    <w:rsid w:val="00C337EC"/>
    <w:rsid w:val="00C34272"/>
    <w:rsid w:val="00C343ED"/>
    <w:rsid w:val="00C3784E"/>
    <w:rsid w:val="00C44DD7"/>
    <w:rsid w:val="00C6141B"/>
    <w:rsid w:val="00C87968"/>
    <w:rsid w:val="00C92007"/>
    <w:rsid w:val="00CC185A"/>
    <w:rsid w:val="00CC6853"/>
    <w:rsid w:val="00CE0935"/>
    <w:rsid w:val="00CE52AA"/>
    <w:rsid w:val="00D00DFD"/>
    <w:rsid w:val="00D2696A"/>
    <w:rsid w:val="00D30774"/>
    <w:rsid w:val="00D31068"/>
    <w:rsid w:val="00D40182"/>
    <w:rsid w:val="00D401E4"/>
    <w:rsid w:val="00D46C9F"/>
    <w:rsid w:val="00D505CE"/>
    <w:rsid w:val="00D56422"/>
    <w:rsid w:val="00D6063C"/>
    <w:rsid w:val="00D65A52"/>
    <w:rsid w:val="00D65AF6"/>
    <w:rsid w:val="00D9067F"/>
    <w:rsid w:val="00D95B1B"/>
    <w:rsid w:val="00DC4597"/>
    <w:rsid w:val="00DF0DA6"/>
    <w:rsid w:val="00E071D6"/>
    <w:rsid w:val="00E109E4"/>
    <w:rsid w:val="00E31885"/>
    <w:rsid w:val="00E57CC7"/>
    <w:rsid w:val="00E83EA5"/>
    <w:rsid w:val="00E84617"/>
    <w:rsid w:val="00E8598E"/>
    <w:rsid w:val="00E85D48"/>
    <w:rsid w:val="00E8784E"/>
    <w:rsid w:val="00EA41A4"/>
    <w:rsid w:val="00EB75D1"/>
    <w:rsid w:val="00EB7A5D"/>
    <w:rsid w:val="00EC4998"/>
    <w:rsid w:val="00ED1FA6"/>
    <w:rsid w:val="00ED2F42"/>
    <w:rsid w:val="00ED4286"/>
    <w:rsid w:val="00F00CB8"/>
    <w:rsid w:val="00F0708E"/>
    <w:rsid w:val="00F3305C"/>
    <w:rsid w:val="00F35E8E"/>
    <w:rsid w:val="00F52ED5"/>
    <w:rsid w:val="00F61414"/>
    <w:rsid w:val="00F61BB8"/>
    <w:rsid w:val="00F645F2"/>
    <w:rsid w:val="00F71404"/>
    <w:rsid w:val="00F71ECF"/>
    <w:rsid w:val="00F801B7"/>
    <w:rsid w:val="00F86227"/>
    <w:rsid w:val="00F95697"/>
    <w:rsid w:val="00FA2924"/>
    <w:rsid w:val="00FA583C"/>
    <w:rsid w:val="00FB0024"/>
    <w:rsid w:val="00FB11F0"/>
    <w:rsid w:val="00FB22FB"/>
    <w:rsid w:val="00FD1BE0"/>
    <w:rsid w:val="00FD21D4"/>
    <w:rsid w:val="00FE2A90"/>
    <w:rsid w:val="00FE3B62"/>
    <w:rsid w:val="00FE6C34"/>
    <w:rsid w:val="00FF45D1"/>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C84445"/>
  <w15:docId w15:val="{6E22EE65-6208-044B-B034-45E16A2F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2"/>
        <w:szCs w:val="22"/>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Date" w:locked="1"/>
    <w:lsdException w:name="Body Text First Indent"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DE4"/>
    <w:pPr>
      <w:spacing w:line="270" w:lineRule="atLeast"/>
    </w:pPr>
  </w:style>
  <w:style w:type="paragraph" w:styleId="Titre1">
    <w:name w:val="heading 1"/>
    <w:basedOn w:val="Normal"/>
    <w:next w:val="Normal"/>
    <w:link w:val="Titre1Car"/>
    <w:uiPriority w:val="2"/>
    <w:qFormat/>
    <w:rsid w:val="009969BB"/>
    <w:pPr>
      <w:numPr>
        <w:numId w:val="33"/>
      </w:numPr>
      <w:spacing w:before="540" w:after="270" w:line="240" w:lineRule="auto"/>
      <w:contextualSpacing/>
      <w:outlineLvl w:val="0"/>
    </w:pPr>
    <w:rPr>
      <w:rFonts w:ascii="Times" w:hAnsi="Times"/>
      <w:b/>
      <w:color w:val="000000"/>
      <w:sz w:val="32"/>
    </w:rPr>
  </w:style>
  <w:style w:type="paragraph" w:styleId="Titre2">
    <w:name w:val="heading 2"/>
    <w:basedOn w:val="Normal"/>
    <w:next w:val="Normal"/>
    <w:link w:val="Titre2Car"/>
    <w:uiPriority w:val="3"/>
    <w:qFormat/>
    <w:rsid w:val="00034950"/>
    <w:pPr>
      <w:numPr>
        <w:ilvl w:val="1"/>
        <w:numId w:val="33"/>
      </w:numPr>
      <w:spacing w:before="540" w:after="270" w:line="320" w:lineRule="atLeast"/>
      <w:outlineLvl w:val="1"/>
    </w:pPr>
    <w:rPr>
      <w:rFonts w:ascii="Times" w:hAnsi="Times"/>
      <w:b/>
      <w:color w:val="000000"/>
      <w:sz w:val="28"/>
    </w:rPr>
  </w:style>
  <w:style w:type="paragraph" w:styleId="Titre3">
    <w:name w:val="heading 3"/>
    <w:basedOn w:val="Normal"/>
    <w:next w:val="Normal"/>
    <w:link w:val="Titre3Car"/>
    <w:uiPriority w:val="4"/>
    <w:qFormat/>
    <w:rsid w:val="00034950"/>
    <w:pPr>
      <w:numPr>
        <w:ilvl w:val="2"/>
        <w:numId w:val="33"/>
      </w:numPr>
      <w:spacing w:before="270" w:after="270"/>
      <w:outlineLvl w:val="2"/>
    </w:pPr>
    <w:rPr>
      <w:b/>
    </w:rPr>
  </w:style>
  <w:style w:type="paragraph" w:styleId="Titre4">
    <w:name w:val="heading 4"/>
    <w:basedOn w:val="Normal"/>
    <w:next w:val="Normal"/>
    <w:link w:val="Titre4Car"/>
    <w:uiPriority w:val="4"/>
    <w:qFormat/>
    <w:rsid w:val="00034950"/>
    <w:pPr>
      <w:keepNext/>
      <w:numPr>
        <w:ilvl w:val="3"/>
        <w:numId w:val="33"/>
      </w:numPr>
      <w:spacing w:before="270" w:after="270"/>
      <w:outlineLvl w:val="3"/>
    </w:pPr>
    <w:rPr>
      <w:color w:val="000000"/>
      <w:szCs w:val="20"/>
      <w:lang w:eastAsia="en-US"/>
    </w:rPr>
  </w:style>
  <w:style w:type="paragraph" w:styleId="Titre5">
    <w:name w:val="heading 5"/>
    <w:basedOn w:val="Normal"/>
    <w:next w:val="Normal"/>
    <w:link w:val="Titre5Car"/>
    <w:rsid w:val="001B7CDD"/>
    <w:pPr>
      <w:keepNext/>
      <w:spacing w:before="270"/>
      <w:outlineLvl w:val="4"/>
    </w:pPr>
    <w:rPr>
      <w:i/>
      <w:color w:val="000000"/>
      <w:szCs w:val="20"/>
      <w:lang w:eastAsia="en-US"/>
    </w:rPr>
  </w:style>
  <w:style w:type="paragraph" w:styleId="Titre6">
    <w:name w:val="heading 6"/>
    <w:basedOn w:val="Normal"/>
    <w:next w:val="Normal"/>
    <w:link w:val="Titre6Car"/>
    <w:rsid w:val="000D1CBC"/>
    <w:pPr>
      <w:keepNext/>
      <w:spacing w:line="252" w:lineRule="auto"/>
      <w:outlineLvl w:val="5"/>
    </w:pPr>
    <w:rPr>
      <w:b/>
      <w:color w:val="000000"/>
      <w:sz w:val="20"/>
      <w:szCs w:val="20"/>
      <w:lang w:eastAsia="en-US"/>
    </w:rPr>
  </w:style>
  <w:style w:type="paragraph" w:styleId="Titre7">
    <w:name w:val="heading 7"/>
    <w:basedOn w:val="Normal"/>
    <w:next w:val="Normal"/>
    <w:link w:val="Titre7Car"/>
    <w:rsid w:val="000D1CBC"/>
    <w:pPr>
      <w:keepNext/>
      <w:spacing w:line="252" w:lineRule="auto"/>
      <w:outlineLvl w:val="6"/>
    </w:pPr>
    <w:rPr>
      <w:b/>
      <w:color w:val="000000"/>
      <w:sz w:val="20"/>
      <w:szCs w:val="20"/>
      <w:lang w:eastAsia="en-US"/>
    </w:rPr>
  </w:style>
  <w:style w:type="paragraph" w:styleId="Titre8">
    <w:name w:val="heading 8"/>
    <w:basedOn w:val="Normal"/>
    <w:next w:val="Normal"/>
    <w:link w:val="Titre8Car"/>
    <w:rsid w:val="000D1CBC"/>
    <w:pPr>
      <w:keepNext/>
      <w:spacing w:line="252" w:lineRule="auto"/>
      <w:outlineLvl w:val="7"/>
    </w:pPr>
    <w:rPr>
      <w:b/>
      <w:color w:val="000000"/>
      <w:sz w:val="20"/>
      <w:szCs w:val="20"/>
      <w:lang w:eastAsia="en-US"/>
    </w:rPr>
  </w:style>
  <w:style w:type="paragraph" w:styleId="Titre9">
    <w:name w:val="heading 9"/>
    <w:basedOn w:val="Normal"/>
    <w:next w:val="Normal"/>
    <w:link w:val="Titre9Car"/>
    <w:rsid w:val="000D1CBC"/>
    <w:pPr>
      <w:keepNext/>
      <w:spacing w:line="252" w:lineRule="auto"/>
      <w:outlineLvl w:val="8"/>
    </w:pPr>
    <w:rPr>
      <w:b/>
      <w:color w:val="000000"/>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rsid w:val="000D1CBC"/>
    <w:rPr>
      <w:rFonts w:ascii="Arial" w:hAnsi="Arial"/>
      <w:b/>
      <w:color w:val="000000"/>
      <w:lang w:val="en-GB" w:eastAsia="en-US"/>
    </w:rPr>
  </w:style>
  <w:style w:type="paragraph" w:styleId="Titre">
    <w:name w:val="Title"/>
    <w:basedOn w:val="Normal"/>
    <w:next w:val="Normal"/>
    <w:link w:val="TitreCar"/>
    <w:rsid w:val="00A54BFD"/>
    <w:pPr>
      <w:spacing w:after="120" w:line="252" w:lineRule="auto"/>
      <w:jc w:val="center"/>
      <w:outlineLvl w:val="0"/>
    </w:pPr>
    <w:rPr>
      <w:b/>
      <w:sz w:val="36"/>
    </w:rPr>
  </w:style>
  <w:style w:type="character" w:styleId="Lienhypertexte">
    <w:name w:val="Hyperlink"/>
    <w:uiPriority w:val="99"/>
    <w:rsid w:val="00F52ED5"/>
    <w:rPr>
      <w:color w:val="0000FF"/>
      <w:u w:val="single"/>
    </w:rPr>
  </w:style>
  <w:style w:type="paragraph" w:styleId="Textedebulles">
    <w:name w:val="Balloon Text"/>
    <w:basedOn w:val="Normal"/>
    <w:link w:val="TextedebullesCar"/>
    <w:rsid w:val="009D101E"/>
    <w:rPr>
      <w:rFonts w:ascii="Tahoma" w:hAnsi="Tahoma" w:cs="Tahoma"/>
      <w:sz w:val="16"/>
      <w:szCs w:val="16"/>
    </w:rPr>
  </w:style>
  <w:style w:type="character" w:customStyle="1" w:styleId="TextedebullesCar">
    <w:name w:val="Texte de bulles Car"/>
    <w:basedOn w:val="Policepardfaut"/>
    <w:link w:val="Textedebulles"/>
    <w:rsid w:val="009D101E"/>
    <w:rPr>
      <w:rFonts w:ascii="Tahoma" w:hAnsi="Tahoma" w:cs="Tahoma"/>
      <w:sz w:val="16"/>
      <w:szCs w:val="16"/>
      <w:lang w:val="en-GB" w:eastAsia="en-GB"/>
    </w:rPr>
  </w:style>
  <w:style w:type="character" w:customStyle="1" w:styleId="TitreCar">
    <w:name w:val="Titre Car"/>
    <w:basedOn w:val="Policepardfaut"/>
    <w:link w:val="Titre"/>
    <w:rsid w:val="00F71404"/>
    <w:rPr>
      <w:rFonts w:asciiTheme="minorHAnsi" w:hAnsiTheme="minorHAnsi"/>
      <w:b/>
      <w:sz w:val="36"/>
      <w:szCs w:val="24"/>
      <w:lang w:val="en-GB" w:eastAsia="en-GB"/>
    </w:rPr>
  </w:style>
  <w:style w:type="paragraph" w:styleId="Pieddepage">
    <w:name w:val="footer"/>
    <w:basedOn w:val="Normal"/>
    <w:link w:val="PieddepageCar"/>
    <w:semiHidden/>
    <w:rsid w:val="000A45AF"/>
    <w:pPr>
      <w:tabs>
        <w:tab w:val="center" w:pos="4536"/>
        <w:tab w:val="right" w:pos="9072"/>
      </w:tabs>
    </w:pPr>
  </w:style>
  <w:style w:type="character" w:customStyle="1" w:styleId="PieddepageCar">
    <w:name w:val="Pied de page Car"/>
    <w:basedOn w:val="Policepardfaut"/>
    <w:link w:val="Pieddepage"/>
    <w:semiHidden/>
    <w:rsid w:val="00927929"/>
    <w:rPr>
      <w:rFonts w:asciiTheme="minorHAnsi" w:hAnsiTheme="minorHAnsi"/>
      <w:sz w:val="22"/>
      <w:szCs w:val="24"/>
      <w:lang w:val="en-GB" w:eastAsia="en-GB"/>
    </w:rPr>
  </w:style>
  <w:style w:type="table" w:styleId="Grilledutableau">
    <w:name w:val="Table Grid"/>
    <w:basedOn w:val="TableauNormal"/>
    <w:locked/>
    <w:rsid w:val="000A4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2"/>
    <w:rsid w:val="009969BB"/>
    <w:rPr>
      <w:rFonts w:ascii="Times" w:hAnsi="Times"/>
      <w:b/>
      <w:color w:val="000000"/>
      <w:sz w:val="32"/>
    </w:rPr>
  </w:style>
  <w:style w:type="character" w:customStyle="1" w:styleId="Titre2Car">
    <w:name w:val="Titre 2 Car"/>
    <w:basedOn w:val="Policepardfaut"/>
    <w:link w:val="Titre2"/>
    <w:uiPriority w:val="3"/>
    <w:rsid w:val="00034950"/>
    <w:rPr>
      <w:rFonts w:ascii="Times" w:hAnsi="Times"/>
      <w:b/>
      <w:color w:val="000000"/>
      <w:sz w:val="28"/>
    </w:rPr>
  </w:style>
  <w:style w:type="character" w:customStyle="1" w:styleId="Titre3Car">
    <w:name w:val="Titre 3 Car"/>
    <w:link w:val="Titre3"/>
    <w:uiPriority w:val="4"/>
    <w:rsid w:val="00034950"/>
    <w:rPr>
      <w:b/>
    </w:rPr>
  </w:style>
  <w:style w:type="character" w:customStyle="1" w:styleId="Titre4Car">
    <w:name w:val="Titre 4 Car"/>
    <w:basedOn w:val="Policepardfaut"/>
    <w:link w:val="Titre4"/>
    <w:uiPriority w:val="4"/>
    <w:rsid w:val="00034950"/>
    <w:rPr>
      <w:color w:val="000000"/>
      <w:szCs w:val="20"/>
      <w:lang w:eastAsia="en-US"/>
    </w:rPr>
  </w:style>
  <w:style w:type="paragraph" w:styleId="TM1">
    <w:name w:val="toc 1"/>
    <w:basedOn w:val="Normal"/>
    <w:next w:val="Normal"/>
    <w:autoRedefine/>
    <w:uiPriority w:val="39"/>
    <w:rsid w:val="0050105C"/>
    <w:pPr>
      <w:tabs>
        <w:tab w:val="left" w:pos="284"/>
        <w:tab w:val="right" w:pos="8296"/>
      </w:tabs>
      <w:spacing w:before="270"/>
      <w:ind w:left="284" w:hanging="284"/>
    </w:pPr>
    <w:rPr>
      <w:rFonts w:cs="Arial"/>
      <w:b/>
      <w:szCs w:val="20"/>
      <w:lang w:eastAsia="fr-FR"/>
    </w:rPr>
  </w:style>
  <w:style w:type="paragraph" w:styleId="TM2">
    <w:name w:val="toc 2"/>
    <w:basedOn w:val="Normal"/>
    <w:next w:val="Normal"/>
    <w:link w:val="TM2Car"/>
    <w:autoRedefine/>
    <w:uiPriority w:val="39"/>
    <w:rsid w:val="0050105C"/>
    <w:pPr>
      <w:tabs>
        <w:tab w:val="left" w:pos="680"/>
        <w:tab w:val="right" w:pos="8296"/>
      </w:tabs>
      <w:ind w:left="738" w:hanging="454"/>
    </w:pPr>
    <w:rPr>
      <w:rFonts w:asciiTheme="minorHAnsi" w:hAnsiTheme="minorHAnsi" w:cs="Arial"/>
      <w:szCs w:val="20"/>
      <w:lang w:eastAsia="fr-FR"/>
    </w:rPr>
  </w:style>
  <w:style w:type="character" w:customStyle="1" w:styleId="TM2Car">
    <w:name w:val="TM 2 Car"/>
    <w:link w:val="TM2"/>
    <w:uiPriority w:val="39"/>
    <w:rsid w:val="0050105C"/>
    <w:rPr>
      <w:rFonts w:asciiTheme="minorHAnsi" w:hAnsiTheme="minorHAnsi" w:cs="Arial"/>
      <w:szCs w:val="20"/>
      <w:lang w:eastAsia="fr-FR"/>
    </w:rPr>
  </w:style>
  <w:style w:type="paragraph" w:styleId="TM3">
    <w:name w:val="toc 3"/>
    <w:basedOn w:val="Normal"/>
    <w:next w:val="Normal"/>
    <w:autoRedefine/>
    <w:uiPriority w:val="39"/>
    <w:rsid w:val="0050105C"/>
    <w:pPr>
      <w:tabs>
        <w:tab w:val="left" w:pos="851"/>
        <w:tab w:val="right" w:pos="8296"/>
      </w:tabs>
      <w:ind w:left="1191" w:hanging="624"/>
    </w:pPr>
    <w:rPr>
      <w:rFonts w:asciiTheme="minorHAnsi" w:hAnsiTheme="minorHAnsi" w:cs="Arial"/>
      <w:szCs w:val="20"/>
      <w:lang w:eastAsia="fr-FR"/>
    </w:rPr>
  </w:style>
  <w:style w:type="character" w:customStyle="1" w:styleId="Titre5Car">
    <w:name w:val="Titre 5 Car"/>
    <w:basedOn w:val="Policepardfaut"/>
    <w:link w:val="Titre5"/>
    <w:rsid w:val="001B7CDD"/>
    <w:rPr>
      <w:i/>
      <w:color w:val="000000"/>
      <w:szCs w:val="20"/>
      <w:lang w:eastAsia="en-US"/>
    </w:rPr>
  </w:style>
  <w:style w:type="paragraph" w:styleId="Textebrut">
    <w:name w:val="Plain Text"/>
    <w:basedOn w:val="Normal"/>
    <w:link w:val="TextebrutCar"/>
    <w:rsid w:val="009723F5"/>
    <w:rPr>
      <w:rFonts w:ascii="Consolas" w:hAnsi="Consolas" w:cs="Consolas"/>
      <w:sz w:val="21"/>
      <w:szCs w:val="21"/>
    </w:rPr>
  </w:style>
  <w:style w:type="character" w:customStyle="1" w:styleId="TextebrutCar">
    <w:name w:val="Texte brut Car"/>
    <w:basedOn w:val="Policepardfaut"/>
    <w:link w:val="Textebrut"/>
    <w:rsid w:val="009723F5"/>
    <w:rPr>
      <w:rFonts w:ascii="Consolas" w:hAnsi="Consolas" w:cs="Consolas"/>
      <w:sz w:val="21"/>
      <w:szCs w:val="21"/>
      <w:lang w:val="en-GB" w:eastAsia="en-GB"/>
    </w:rPr>
  </w:style>
  <w:style w:type="paragraph" w:styleId="Paragraphedeliste">
    <w:name w:val="List Paragraph"/>
    <w:basedOn w:val="Normal"/>
    <w:uiPriority w:val="34"/>
    <w:rsid w:val="009A1DCD"/>
    <w:pPr>
      <w:ind w:left="720"/>
      <w:contextualSpacing/>
    </w:pPr>
  </w:style>
  <w:style w:type="character" w:customStyle="1" w:styleId="Titre7Car">
    <w:name w:val="Titre 7 Car"/>
    <w:basedOn w:val="Policepardfaut"/>
    <w:link w:val="Titre7"/>
    <w:rsid w:val="000D1CBC"/>
    <w:rPr>
      <w:rFonts w:ascii="Arial" w:hAnsi="Arial"/>
      <w:b/>
      <w:color w:val="000000"/>
      <w:lang w:val="en-GB" w:eastAsia="en-US"/>
    </w:rPr>
  </w:style>
  <w:style w:type="character" w:customStyle="1" w:styleId="Titre8Car">
    <w:name w:val="Titre 8 Car"/>
    <w:basedOn w:val="Policepardfaut"/>
    <w:link w:val="Titre8"/>
    <w:rsid w:val="000D1CBC"/>
    <w:rPr>
      <w:rFonts w:ascii="Arial" w:hAnsi="Arial"/>
      <w:b/>
      <w:color w:val="000000"/>
      <w:lang w:val="en-GB" w:eastAsia="en-US"/>
    </w:rPr>
  </w:style>
  <w:style w:type="character" w:customStyle="1" w:styleId="Titre9Car">
    <w:name w:val="Titre 9 Car"/>
    <w:basedOn w:val="Policepardfaut"/>
    <w:link w:val="Titre9"/>
    <w:rsid w:val="000D1CBC"/>
    <w:rPr>
      <w:rFonts w:ascii="Arial" w:hAnsi="Arial"/>
      <w:b/>
      <w:color w:val="000000"/>
      <w:lang w:val="en-GB" w:eastAsia="en-US"/>
    </w:rPr>
  </w:style>
  <w:style w:type="paragraph" w:styleId="En-tte">
    <w:name w:val="header"/>
    <w:basedOn w:val="Normal"/>
    <w:link w:val="En-tteCar"/>
    <w:semiHidden/>
    <w:rsid w:val="00793244"/>
    <w:pPr>
      <w:tabs>
        <w:tab w:val="center" w:pos="4536"/>
        <w:tab w:val="right" w:pos="9072"/>
      </w:tabs>
    </w:pPr>
  </w:style>
  <w:style w:type="character" w:customStyle="1" w:styleId="En-tteCar">
    <w:name w:val="En-tête Car"/>
    <w:basedOn w:val="Policepardfaut"/>
    <w:link w:val="En-tte"/>
    <w:semiHidden/>
    <w:rsid w:val="00927929"/>
    <w:rPr>
      <w:rFonts w:asciiTheme="minorHAnsi" w:hAnsiTheme="minorHAnsi"/>
      <w:sz w:val="22"/>
      <w:szCs w:val="24"/>
      <w:lang w:val="en-GB" w:eastAsia="en-GB"/>
    </w:rPr>
  </w:style>
  <w:style w:type="paragraph" w:customStyle="1" w:styleId="MainTitle">
    <w:name w:val="MainTitle"/>
    <w:basedOn w:val="Normal"/>
    <w:next w:val="Normal"/>
    <w:qFormat/>
    <w:rsid w:val="00FB11F0"/>
    <w:pPr>
      <w:spacing w:before="540" w:after="270" w:line="480" w:lineRule="atLeast"/>
    </w:pPr>
    <w:rPr>
      <w:rFonts w:ascii="Times" w:hAnsi="Times"/>
      <w:b/>
      <w:sz w:val="44"/>
    </w:rPr>
  </w:style>
  <w:style w:type="paragraph" w:styleId="TM4">
    <w:name w:val="toc 4"/>
    <w:basedOn w:val="Normal"/>
    <w:next w:val="Normal"/>
    <w:autoRedefine/>
    <w:uiPriority w:val="39"/>
    <w:rsid w:val="00FA2924"/>
    <w:pPr>
      <w:tabs>
        <w:tab w:val="left" w:pos="1021"/>
        <w:tab w:val="right" w:pos="8296"/>
      </w:tabs>
      <w:ind w:left="794"/>
    </w:pPr>
  </w:style>
  <w:style w:type="paragraph" w:customStyle="1" w:styleId="Dcision">
    <w:name w:val="Décision"/>
    <w:basedOn w:val="Normal"/>
    <w:next w:val="Normal"/>
    <w:link w:val="DcisionCar"/>
    <w:uiPriority w:val="5"/>
    <w:qFormat/>
    <w:rsid w:val="00C87968"/>
    <w:pPr>
      <w:numPr>
        <w:numId w:val="34"/>
      </w:numPr>
      <w:tabs>
        <w:tab w:val="left" w:pos="357"/>
      </w:tabs>
      <w:spacing w:before="270" w:after="270"/>
      <w:ind w:left="0" w:firstLine="0"/>
      <w:contextualSpacing/>
    </w:pPr>
    <w:rPr>
      <w:b/>
    </w:rPr>
  </w:style>
  <w:style w:type="paragraph" w:customStyle="1" w:styleId="Code">
    <w:name w:val="Code"/>
    <w:basedOn w:val="Normal"/>
    <w:uiPriority w:val="7"/>
    <w:qFormat/>
    <w:rsid w:val="00701577"/>
    <w:pPr>
      <w:spacing w:before="270" w:after="270"/>
      <w:contextualSpacing/>
    </w:pPr>
    <w:rPr>
      <w:rFonts w:ascii="Courier New" w:hAnsi="Courier New"/>
      <w:color w:val="0000FF"/>
    </w:rPr>
  </w:style>
  <w:style w:type="paragraph" w:customStyle="1" w:styleId="Encadr">
    <w:name w:val="Encadré"/>
    <w:basedOn w:val="Normal"/>
    <w:uiPriority w:val="5"/>
    <w:qFormat/>
    <w:rsid w:val="00701577"/>
    <w:pPr>
      <w:pBdr>
        <w:top w:val="single" w:sz="4" w:space="4" w:color="auto"/>
        <w:left w:val="single" w:sz="4" w:space="4" w:color="auto"/>
        <w:bottom w:val="single" w:sz="4" w:space="4" w:color="auto"/>
        <w:right w:val="single" w:sz="4" w:space="4" w:color="auto"/>
      </w:pBdr>
      <w:shd w:val="clear" w:color="auto" w:fill="DDDDDD"/>
      <w:spacing w:before="270" w:after="270"/>
      <w:contextualSpacing/>
    </w:pPr>
    <w:rPr>
      <w:rFonts w:ascii="Courier New" w:hAnsi="Courier New"/>
    </w:rPr>
  </w:style>
  <w:style w:type="paragraph" w:customStyle="1" w:styleId="sous-titre">
    <w:name w:val="sous-titre"/>
    <w:basedOn w:val="Normal"/>
    <w:next w:val="Normal"/>
    <w:link w:val="sous-titreCar"/>
    <w:uiPriority w:val="1"/>
    <w:qFormat/>
    <w:rsid w:val="00E83EA5"/>
    <w:pPr>
      <w:spacing w:after="270"/>
    </w:pPr>
    <w:rPr>
      <w:b/>
      <w:sz w:val="20"/>
    </w:rPr>
  </w:style>
  <w:style w:type="character" w:customStyle="1" w:styleId="DcisionCar">
    <w:name w:val="Décision Car"/>
    <w:basedOn w:val="Policepardfaut"/>
    <w:link w:val="Dcision"/>
    <w:uiPriority w:val="5"/>
    <w:rsid w:val="00C87968"/>
    <w:rPr>
      <w:b/>
    </w:rPr>
  </w:style>
  <w:style w:type="character" w:customStyle="1" w:styleId="sous-titreCar">
    <w:name w:val="sous-titre Car"/>
    <w:basedOn w:val="Policepardfaut"/>
    <w:link w:val="sous-titre"/>
    <w:uiPriority w:val="1"/>
    <w:rsid w:val="00E83EA5"/>
    <w:rPr>
      <w:b/>
      <w:sz w:val="20"/>
    </w:rPr>
  </w:style>
  <w:style w:type="paragraph" w:styleId="Citation">
    <w:name w:val="Quote"/>
    <w:basedOn w:val="Normal"/>
    <w:next w:val="Normal"/>
    <w:link w:val="CitationCar"/>
    <w:uiPriority w:val="29"/>
    <w:qFormat/>
    <w:rsid w:val="00C3784E"/>
    <w:pPr>
      <w:spacing w:before="200" w:after="160"/>
      <w:ind w:left="567" w:right="567"/>
    </w:pPr>
    <w:rPr>
      <w:iCs/>
      <w:color w:val="404040" w:themeColor="text1" w:themeTint="BF"/>
      <w:sz w:val="19"/>
    </w:rPr>
  </w:style>
  <w:style w:type="character" w:customStyle="1" w:styleId="CitationCar">
    <w:name w:val="Citation Car"/>
    <w:basedOn w:val="Policepardfaut"/>
    <w:link w:val="Citation"/>
    <w:uiPriority w:val="29"/>
    <w:rsid w:val="00C3784E"/>
    <w:rPr>
      <w:iCs/>
      <w:color w:val="404040" w:themeColor="text1" w:themeTint="BF"/>
      <w:sz w:val="19"/>
    </w:rPr>
  </w:style>
  <w:style w:type="paragraph" w:styleId="Notedebasdepage">
    <w:name w:val="footnote text"/>
    <w:basedOn w:val="Normal"/>
    <w:link w:val="NotedebasdepageCar"/>
    <w:semiHidden/>
    <w:unhideWhenUsed/>
    <w:rsid w:val="007C4F08"/>
    <w:pPr>
      <w:spacing w:line="240" w:lineRule="auto"/>
    </w:pPr>
    <w:rPr>
      <w:sz w:val="18"/>
      <w:szCs w:val="20"/>
    </w:rPr>
  </w:style>
  <w:style w:type="character" w:customStyle="1" w:styleId="NotedebasdepageCar">
    <w:name w:val="Note de bas de page Car"/>
    <w:basedOn w:val="Policepardfaut"/>
    <w:link w:val="Notedebasdepage"/>
    <w:semiHidden/>
    <w:rsid w:val="007C4F08"/>
    <w:rPr>
      <w:sz w:val="18"/>
      <w:szCs w:val="20"/>
    </w:rPr>
  </w:style>
  <w:style w:type="character" w:styleId="Appelnotedebasdep">
    <w:name w:val="footnote reference"/>
    <w:basedOn w:val="Policepardfaut"/>
    <w:semiHidden/>
    <w:unhideWhenUsed/>
    <w:rsid w:val="007C4F08"/>
    <w:rPr>
      <w:vertAlign w:val="superscript"/>
    </w:rPr>
  </w:style>
  <w:style w:type="paragraph" w:styleId="Notedefin">
    <w:name w:val="endnote text"/>
    <w:basedOn w:val="Normal"/>
    <w:link w:val="NotedefinCar"/>
    <w:semiHidden/>
    <w:unhideWhenUsed/>
    <w:rsid w:val="007C4F08"/>
    <w:pPr>
      <w:spacing w:line="240" w:lineRule="auto"/>
    </w:pPr>
    <w:rPr>
      <w:sz w:val="18"/>
      <w:szCs w:val="20"/>
    </w:rPr>
  </w:style>
  <w:style w:type="character" w:customStyle="1" w:styleId="NotedefinCar">
    <w:name w:val="Note de fin Car"/>
    <w:basedOn w:val="Policepardfaut"/>
    <w:link w:val="Notedefin"/>
    <w:semiHidden/>
    <w:rsid w:val="007C4F08"/>
    <w:rPr>
      <w:sz w:val="18"/>
      <w:szCs w:val="20"/>
    </w:rPr>
  </w:style>
  <w:style w:type="paragraph" w:customStyle="1" w:styleId="NBP">
    <w:name w:val="NBP"/>
    <w:next w:val="Normal"/>
    <w:link w:val="NBPCar"/>
    <w:rsid w:val="007C4F08"/>
    <w:pPr>
      <w:ind w:right="6861"/>
    </w:pPr>
    <w:rPr>
      <w:sz w:val="18"/>
    </w:rPr>
  </w:style>
  <w:style w:type="paragraph" w:styleId="En-ttedetabledesmatires">
    <w:name w:val="TOC Heading"/>
    <w:basedOn w:val="Titre1"/>
    <w:next w:val="Normal"/>
    <w:uiPriority w:val="39"/>
    <w:unhideWhenUsed/>
    <w:rsid w:val="00B719E5"/>
    <w:pPr>
      <w:keepNext/>
      <w:keepLines/>
      <w:numPr>
        <w:numId w:val="0"/>
      </w:numPr>
      <w:spacing w:before="240" w:after="0" w:line="270" w:lineRule="atLeast"/>
      <w:contextualSpacing w:val="0"/>
      <w:outlineLvl w:val="9"/>
    </w:pPr>
    <w:rPr>
      <w:rFonts w:eastAsiaTheme="majorEastAsia" w:cstheme="majorBidi"/>
      <w:color w:val="000000" w:themeColor="text1"/>
      <w:sz w:val="44"/>
      <w:szCs w:val="32"/>
    </w:rPr>
  </w:style>
  <w:style w:type="character" w:customStyle="1" w:styleId="NBPCar">
    <w:name w:val="NBP Car"/>
    <w:basedOn w:val="Policepardfaut"/>
    <w:link w:val="NBP"/>
    <w:rsid w:val="007C4F08"/>
    <w:rPr>
      <w:sz w:val="18"/>
    </w:rPr>
  </w:style>
  <w:style w:type="paragraph" w:styleId="Retraitnormal">
    <w:name w:val="Normal Indent"/>
    <w:basedOn w:val="Normal"/>
    <w:unhideWhenUsed/>
    <w:locked/>
    <w:rsid w:val="00773D51"/>
    <w:pPr>
      <w:ind w:left="708"/>
    </w:pPr>
  </w:style>
  <w:style w:type="paragraph" w:styleId="Salutations">
    <w:name w:val="Salutation"/>
    <w:basedOn w:val="Normal"/>
    <w:next w:val="Normal"/>
    <w:link w:val="SalutationsCar"/>
    <w:rsid w:val="00773D51"/>
  </w:style>
  <w:style w:type="character" w:customStyle="1" w:styleId="SalutationsCar">
    <w:name w:val="Salutations Car"/>
    <w:basedOn w:val="Policepardfaut"/>
    <w:link w:val="Salutations"/>
    <w:rsid w:val="00773D51"/>
  </w:style>
  <w:style w:type="paragraph" w:styleId="NormalWeb">
    <w:name w:val="Normal (Web)"/>
    <w:basedOn w:val="Normal"/>
    <w:uiPriority w:val="99"/>
    <w:semiHidden/>
    <w:unhideWhenUsed/>
    <w:rsid w:val="00D56422"/>
    <w:pPr>
      <w:spacing w:before="100" w:beforeAutospacing="1" w:after="100" w:afterAutospacing="1" w:line="240" w:lineRule="auto"/>
    </w:pPr>
    <w:rPr>
      <w:rFonts w:ascii="Times New Roman" w:hAnsi="Times New Roman"/>
      <w:sz w:val="24"/>
      <w:szCs w:val="24"/>
      <w:lang w:eastAsia="fr-FR"/>
    </w:rPr>
  </w:style>
  <w:style w:type="character" w:customStyle="1" w:styleId="boldrouge">
    <w:name w:val="bold_rouge"/>
    <w:basedOn w:val="Policepardfaut"/>
    <w:rsid w:val="00D56422"/>
  </w:style>
  <w:style w:type="character" w:styleId="Accentuation">
    <w:name w:val="Emphasis"/>
    <w:basedOn w:val="Policepardfaut"/>
    <w:uiPriority w:val="20"/>
    <w:qFormat/>
    <w:locked/>
    <w:rsid w:val="00D564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554063">
      <w:bodyDiv w:val="1"/>
      <w:marLeft w:val="0"/>
      <w:marRight w:val="0"/>
      <w:marTop w:val="0"/>
      <w:marBottom w:val="0"/>
      <w:divBdr>
        <w:top w:val="none" w:sz="0" w:space="0" w:color="auto"/>
        <w:left w:val="none" w:sz="0" w:space="0" w:color="auto"/>
        <w:bottom w:val="none" w:sz="0" w:space="0" w:color="auto"/>
        <w:right w:val="none" w:sz="0" w:space="0" w:color="auto"/>
      </w:divBdr>
      <w:divsChild>
        <w:div w:id="692026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cj-cij.org/docket/files/152/18590.pdf" TargetMode="External"/><Relationship Id="rId21" Type="http://schemas.openxmlformats.org/officeDocument/2006/relationships/hyperlink" Target="http://www.icj-cij.org/docket/files/152/18624.pdf" TargetMode="External"/><Relationship Id="rId42" Type="http://schemas.openxmlformats.org/officeDocument/2006/relationships/hyperlink" Target="http://www.icj-cij.org/presscom/view_vod.php?event=20131014_crn&amp;filename=2742116397001" TargetMode="External"/><Relationship Id="rId47" Type="http://schemas.openxmlformats.org/officeDocument/2006/relationships/hyperlink" Target="http://www.icj-cij.org/docket/files/150/17618.pdf" TargetMode="External"/><Relationship Id="rId63" Type="http://schemas.openxmlformats.org/officeDocument/2006/relationships/hyperlink" Target="http://www.icj-cij.org/presscom/gallery.php?p1=6&amp;event=20120427_nicol" TargetMode="External"/><Relationship Id="rId68" Type="http://schemas.openxmlformats.org/officeDocument/2006/relationships/hyperlink" Target="https://www.graduateinstitute.ch/sites/internet/files/2020-11/CR%202012_11%20Translation.pdf" TargetMode="External"/><Relationship Id="rId84" Type="http://schemas.openxmlformats.org/officeDocument/2006/relationships/hyperlink" Target="https://www.graduateinstitute.ch/sites/internet/files/2020-11/CR%202009_6_translation.pdf" TargetMode="External"/><Relationship Id="rId89" Type="http://schemas.openxmlformats.org/officeDocument/2006/relationships/hyperlink" Target="https://www.graduateinstitute.ch/sites/internet/files/2020-11/CR%202009_3_original.pdf" TargetMode="External"/><Relationship Id="rId112" Type="http://schemas.openxmlformats.org/officeDocument/2006/relationships/theme" Target="theme/theme1.xml"/><Relationship Id="rId16" Type="http://schemas.openxmlformats.org/officeDocument/2006/relationships/hyperlink" Target="http://www.icj-cij.org/files/case-related/157/157-20170704-ORA-01-01-BI.pdf" TargetMode="External"/><Relationship Id="rId107" Type="http://schemas.openxmlformats.org/officeDocument/2006/relationships/footer" Target="footer1.xml"/><Relationship Id="rId11" Type="http://schemas.openxmlformats.org/officeDocument/2006/relationships/hyperlink" Target="https://www.graduateinstitute.ch/media/11006" TargetMode="External"/><Relationship Id="rId32" Type="http://schemas.openxmlformats.org/officeDocument/2006/relationships/hyperlink" Target="http://www.icj-cij.org/docket/files/150/18598.pdf" TargetMode="External"/><Relationship Id="rId37" Type="http://schemas.openxmlformats.org/officeDocument/2006/relationships/hyperlink" Target="http://www.icj-cij.org/presscom/view_vod.php?event=20150415_crnncr&amp;filename=4174599919001" TargetMode="External"/><Relationship Id="rId53" Type="http://schemas.openxmlformats.org/officeDocument/2006/relationships/hyperlink" Target="https://www.graduateinstitute.ch/sites/internet/files/2020-11/TIDM_PV_12_A20_1_Fr.pdf" TargetMode="External"/><Relationship Id="rId58" Type="http://schemas.openxmlformats.org/officeDocument/2006/relationships/hyperlink" Target="https://www.graduateinstitute.ch/sites/internet/files/2020-11/ITLOS_PV.12_C20_3_E.pdf" TargetMode="External"/><Relationship Id="rId74" Type="http://schemas.openxmlformats.org/officeDocument/2006/relationships/hyperlink" Target="https://www.graduateinstitute.ch/sites/internet/files/2020-11/CR%202010_20_translation.pdf" TargetMode="External"/><Relationship Id="rId79" Type="http://schemas.openxmlformats.org/officeDocument/2006/relationships/hyperlink" Target="https://www.graduateinstitute.ch/sites/internet/files/2020-11/CR%202009_14_original.pdf" TargetMode="External"/><Relationship Id="rId102" Type="http://schemas.openxmlformats.org/officeDocument/2006/relationships/hyperlink" Target="https://www.graduateinstitute.ch/sites/internet/files/2020-11/CR%202006_55_original.pdf" TargetMode="External"/><Relationship Id="rId5" Type="http://schemas.openxmlformats.org/officeDocument/2006/relationships/webSettings" Target="webSettings.xml"/><Relationship Id="rId90" Type="http://schemas.openxmlformats.org/officeDocument/2006/relationships/hyperlink" Target="https://www.graduateinstitute.ch/sites/internet/files/2020-11/CR%202009_3_translation.pdf" TargetMode="External"/><Relationship Id="rId95" Type="http://schemas.openxmlformats.org/officeDocument/2006/relationships/hyperlink" Target="https://www.graduateinstitute.ch/sites/internet/files/2020-11/CR%202007_30_original.pdf" TargetMode="External"/><Relationship Id="rId22" Type="http://schemas.openxmlformats.org/officeDocument/2006/relationships/hyperlink" Target="http://www.icj-cij.org/docket/files/152/18686.pdf" TargetMode="External"/><Relationship Id="rId27" Type="http://schemas.openxmlformats.org/officeDocument/2006/relationships/hyperlink" Target="http://www.icj-cij.org/docket/files/152/18670.pdf" TargetMode="External"/><Relationship Id="rId43" Type="http://schemas.openxmlformats.org/officeDocument/2006/relationships/hyperlink" Target="http://www.icj-cij.org/docket/files/150/17592.pdf" TargetMode="External"/><Relationship Id="rId48" Type="http://schemas.openxmlformats.org/officeDocument/2006/relationships/hyperlink" Target="http://www.icj-cij.org/presscom/view_vod.php?event=20131016_crn&amp;filename=2746843885001" TargetMode="External"/><Relationship Id="rId64" Type="http://schemas.openxmlformats.org/officeDocument/2006/relationships/hyperlink" Target="http://www.icj-cij.org/presscom/gallery.php?p1=6&amp;event=20120427_nicol" TargetMode="External"/><Relationship Id="rId69" Type="http://schemas.openxmlformats.org/officeDocument/2006/relationships/hyperlink" Target="https://www.graduateinstitute.ch/sites/internet/files/2020-11/CR%202011_3_original.pdf" TargetMode="External"/><Relationship Id="rId80" Type="http://schemas.openxmlformats.org/officeDocument/2006/relationships/hyperlink" Target="https://www.graduateinstitute.ch/sites/internet/files/2020-11/CR%202009_14_translation.pdf" TargetMode="External"/><Relationship Id="rId85" Type="http://schemas.openxmlformats.org/officeDocument/2006/relationships/hyperlink" Target="https://www.graduateinstitute.ch/sites/internet/files/2020-11/CR%202009_3_original.pdf" TargetMode="External"/><Relationship Id="rId12" Type="http://schemas.openxmlformats.org/officeDocument/2006/relationships/hyperlink" Target="https://www.graduateinstitute.ch/sites/internet/files/2020-11/CR%202009_24_original.pdf" TargetMode="External"/><Relationship Id="rId17" Type="http://schemas.openxmlformats.org/officeDocument/2006/relationships/hyperlink" Target="http://www.icj-cij.org/files/case-related/157/157-20170710-ORA-01-00-BI.pdf" TargetMode="External"/><Relationship Id="rId33" Type="http://schemas.openxmlformats.org/officeDocument/2006/relationships/hyperlink" Target="http://www.icj-cij.org/docket/files/150/18676.pdf" TargetMode="External"/><Relationship Id="rId38" Type="http://schemas.openxmlformats.org/officeDocument/2006/relationships/hyperlink" Target="http://www.icj-cij.org/docket/files/150/18588.pdf" TargetMode="External"/><Relationship Id="rId59" Type="http://schemas.openxmlformats.org/officeDocument/2006/relationships/hyperlink" Target="https://www.graduateinstitute.ch/sites/internet/files/2020-11/CR%202012_16_original.pdf" TargetMode="External"/><Relationship Id="rId103" Type="http://schemas.openxmlformats.org/officeDocument/2006/relationships/hyperlink" Target="https://www.graduateinstitute.ch/sites/internet/files/2020-11/CR%202006_55_translation.pdf" TargetMode="External"/><Relationship Id="rId108" Type="http://schemas.openxmlformats.org/officeDocument/2006/relationships/footer" Target="footer2.xml"/><Relationship Id="rId54" Type="http://schemas.openxmlformats.org/officeDocument/2006/relationships/hyperlink" Target="http://wm.rosebud-media.net/itlos/archive/20121129_itlos_fr_004.asf" TargetMode="External"/><Relationship Id="rId70" Type="http://schemas.openxmlformats.org/officeDocument/2006/relationships/hyperlink" Target="https://www.graduateinstitute.ch/sites/internet/files/2020-11/CR%202011_3_translation.pdf" TargetMode="External"/><Relationship Id="rId75" Type="http://schemas.openxmlformats.org/officeDocument/2006/relationships/hyperlink" Target="https://www.graduateinstitute.ch/sites/internet/files/2020-11/CR%202009_21_original.pdf" TargetMode="External"/><Relationship Id="rId91" Type="http://schemas.openxmlformats.org/officeDocument/2006/relationships/hyperlink" Target="https://www.graduateinstitute.ch/sites/internet/files/2020-11/CR%202009_2_original.pdf" TargetMode="External"/><Relationship Id="rId96" Type="http://schemas.openxmlformats.org/officeDocument/2006/relationships/hyperlink" Target="https://www.graduateinstitute.ch/sites/internet/files/2020-11/CR%202007_30_translatio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cj-cij.org/files/case-related/157/157-20170704-ORA-01-00-BI.pdf" TargetMode="External"/><Relationship Id="rId23" Type="http://schemas.openxmlformats.org/officeDocument/2006/relationships/hyperlink" Target="http://www.icj-cij.org/presscom/view_vod.php?event=20150501_crnncr&amp;filename=4208721504001" TargetMode="External"/><Relationship Id="rId28" Type="http://schemas.openxmlformats.org/officeDocument/2006/relationships/hyperlink" Target="http://www.icj-cij.org/presscom/view_vod.php?event=20150423_crnncr&amp;filename=4185898309001" TargetMode="External"/><Relationship Id="rId36" Type="http://schemas.openxmlformats.org/officeDocument/2006/relationships/hyperlink" Target="http://www.icj-cij.org/docket/files/150/18596.pdf" TargetMode="External"/><Relationship Id="rId49" Type="http://schemas.openxmlformats.org/officeDocument/2006/relationships/hyperlink" Target="http://www.icj-cij.org/docket/files/150/17584.pdf" TargetMode="External"/><Relationship Id="rId57" Type="http://schemas.openxmlformats.org/officeDocument/2006/relationships/hyperlink" Target="http://wm.rosebud-media.net/itlos/archive/20121130_itlos_fr_002.asf" TargetMode="External"/><Relationship Id="rId106" Type="http://schemas.openxmlformats.org/officeDocument/2006/relationships/header" Target="header2.xml"/><Relationship Id="rId10" Type="http://schemas.openxmlformats.org/officeDocument/2006/relationships/hyperlink" Target="https://link.brightcove.com/services/player/bcpid1722935254001/?bctid=5830574826001&amp;autoStart=false&amp;secureConnections=true&amp;width=480&amp;height=270" TargetMode="External"/><Relationship Id="rId31" Type="http://schemas.openxmlformats.org/officeDocument/2006/relationships/hyperlink" Target="http://www.icj-cij.org/presscom/view_vod.php?event=20150420_crnncr&amp;filename=4184363370001" TargetMode="External"/><Relationship Id="rId44" Type="http://schemas.openxmlformats.org/officeDocument/2006/relationships/hyperlink" Target="http://www.icj-cij.org/docket/files/150/17630.pdf" TargetMode="External"/><Relationship Id="rId52" Type="http://schemas.openxmlformats.org/officeDocument/2006/relationships/hyperlink" Target="https://www.graduateinstitute.ch/sites/internet/files/2020-11/CR%202009_24_translation.pdf" TargetMode="External"/><Relationship Id="rId60" Type="http://schemas.openxmlformats.org/officeDocument/2006/relationships/hyperlink" Target="http://www.icj-cij.org/presscom/gallery.php?p1=6&amp;event=20120504_nicol" TargetMode="External"/><Relationship Id="rId65" Type="http://schemas.openxmlformats.org/officeDocument/2006/relationships/hyperlink" Target="http://old.iheid.ch/files/%7Bworkspace%7D/sites/intranet/files/users/admin_students/Prof_Kohen_website/Pleadings/CR%202012_13%20Translation.pdf" TargetMode="External"/><Relationship Id="rId73" Type="http://schemas.openxmlformats.org/officeDocument/2006/relationships/hyperlink" Target="https://www.graduateinstitute.ch/sites/internet/files/2020-11/CR%202010_20_original.pdf" TargetMode="External"/><Relationship Id="rId78" Type="http://schemas.openxmlformats.org/officeDocument/2006/relationships/hyperlink" Target="https://www.graduateinstitute.ch/sites/internet/files/2020-11/CR%202009_15_translation.pdf" TargetMode="External"/><Relationship Id="rId81" Type="http://schemas.openxmlformats.org/officeDocument/2006/relationships/hyperlink" Target="https://www.graduateinstitute.ch/sites/internet/files/2020-11/CR%202009_13_original.pdf" TargetMode="External"/><Relationship Id="rId86" Type="http://schemas.openxmlformats.org/officeDocument/2006/relationships/hyperlink" Target="https://www.graduateinstitute.ch/sites/internet/files/2020-11/CR%202009_6_translation.pdf" TargetMode="External"/><Relationship Id="rId94" Type="http://schemas.openxmlformats.org/officeDocument/2006/relationships/hyperlink" Target="https://www.graduateinstitute.ch/sites/internet/files/2020-11/CR%202007_31_translation.pdf" TargetMode="External"/><Relationship Id="rId99" Type="http://schemas.openxmlformats.org/officeDocument/2006/relationships/hyperlink" Target="https://www.graduateinstitute.ch/sites/internet/files/2020-11/CR%202006_57_original.pdf" TargetMode="External"/><Relationship Id="rId101" Type="http://schemas.openxmlformats.org/officeDocument/2006/relationships/hyperlink" Target="https://www.graduateinstitute.ch/sites/internet/files/2020-11/CR%202006_57_translation.pdf" TargetMode="External"/><Relationship Id="rId4" Type="http://schemas.openxmlformats.org/officeDocument/2006/relationships/settings" Target="settings.xml"/><Relationship Id="rId9" Type="http://schemas.openxmlformats.org/officeDocument/2006/relationships/hyperlink" Target="https://www.icj-cij.org/files/case-related/169/169-20180904-ORA-01-00-BI.pdf" TargetMode="External"/><Relationship Id="rId13" Type="http://schemas.openxmlformats.org/officeDocument/2006/relationships/hyperlink" Target="http://www.icj-cij.org/files/case-related/157/157-20170703-ORA-02-00-BI.pdf" TargetMode="External"/><Relationship Id="rId18" Type="http://schemas.openxmlformats.org/officeDocument/2006/relationships/hyperlink" Target="http://www.icj-cij.org/files/case-related/157/157-20170710-ORA-01-01-BI.pdf" TargetMode="External"/><Relationship Id="rId39" Type="http://schemas.openxmlformats.org/officeDocument/2006/relationships/hyperlink" Target="http://www.icj-cij.org/presscom/view_vod.php?event=20150414_crnncr&amp;filename=4171886312001" TargetMode="External"/><Relationship Id="rId109" Type="http://schemas.openxmlformats.org/officeDocument/2006/relationships/header" Target="header3.xml"/><Relationship Id="rId34" Type="http://schemas.openxmlformats.org/officeDocument/2006/relationships/hyperlink" Target="http://www.icj-cij.org/presscom/view_vod.php?event=20150428_crnncr&amp;filename=4201201698001" TargetMode="External"/><Relationship Id="rId50" Type="http://schemas.openxmlformats.org/officeDocument/2006/relationships/hyperlink" Target="http://www.icj-cij.org/docket/files/150/17598.pdf" TargetMode="External"/><Relationship Id="rId55" Type="http://schemas.openxmlformats.org/officeDocument/2006/relationships/hyperlink" Target="https://www.graduateinstitute.ch/sites/internet/files/2020-11/ITLOS_PV.12_C20_1_E.pdf" TargetMode="External"/><Relationship Id="rId76" Type="http://schemas.openxmlformats.org/officeDocument/2006/relationships/hyperlink" Target="https://www.graduateinstitute.ch/sites/internet/files/2020-11/CR%202009_21_translation.pdf" TargetMode="External"/><Relationship Id="rId97" Type="http://schemas.openxmlformats.org/officeDocument/2006/relationships/hyperlink" Target="https://www.graduateinstitute.ch/sites/internet/files/2020-11/CR%202007_27_original.pdf" TargetMode="External"/><Relationship Id="rId104" Type="http://schemas.openxmlformats.org/officeDocument/2006/relationships/hyperlink" Target="https://www.graduateinstitute.ch/sites/internet/files/2020-11/CR%202006_48_original.pdf" TargetMode="External"/><Relationship Id="rId7" Type="http://schemas.openxmlformats.org/officeDocument/2006/relationships/endnotes" Target="endnotes.xml"/><Relationship Id="rId71" Type="http://schemas.openxmlformats.org/officeDocument/2006/relationships/hyperlink" Target="https://www.graduateinstitute.ch/sites/internet/files/2020-11/CR%202011_1_original.pdf" TargetMode="External"/><Relationship Id="rId92" Type="http://schemas.openxmlformats.org/officeDocument/2006/relationships/hyperlink" Target="https://www.graduateinstitute.ch/sites/internet/files/2020-11/CR%202009_2_translation.pdf" TargetMode="External"/><Relationship Id="rId2" Type="http://schemas.openxmlformats.org/officeDocument/2006/relationships/numbering" Target="numbering.xml"/><Relationship Id="rId29" Type="http://schemas.openxmlformats.org/officeDocument/2006/relationships/hyperlink" Target="http://www.icj-cij.org/docket/files/152/18584.pdf" TargetMode="External"/><Relationship Id="rId24" Type="http://schemas.openxmlformats.org/officeDocument/2006/relationships/hyperlink" Target="http://www.icj-cij.org/docket/files/152/18608.pdf" TargetMode="External"/><Relationship Id="rId40" Type="http://schemas.openxmlformats.org/officeDocument/2006/relationships/hyperlink" Target="http://www.icj-cij.org/docket/files/150/17584.pdf" TargetMode="External"/><Relationship Id="rId45" Type="http://schemas.openxmlformats.org/officeDocument/2006/relationships/hyperlink" Target="http://www.icj-cij.org/presscom/view_vod.php?event=20131017_crn&amp;filename=2749119633001" TargetMode="External"/><Relationship Id="rId66" Type="http://schemas.openxmlformats.org/officeDocument/2006/relationships/hyperlink" Target="http://old.iheid.ch/files/%7Bworkspace%7D/sites/intranet/files/users/admin_students/Prof_Kohen_website/Pleadings/CR%202012_11_original.pdf" TargetMode="External"/><Relationship Id="rId87" Type="http://schemas.openxmlformats.org/officeDocument/2006/relationships/hyperlink" Target="https://www.graduateinstitute.ch/sites/internet/files/2020-11/CR%202009_3_original.pdf" TargetMode="External"/><Relationship Id="rId110" Type="http://schemas.openxmlformats.org/officeDocument/2006/relationships/footer" Target="footer3.xml"/><Relationship Id="rId61" Type="http://schemas.openxmlformats.org/officeDocument/2006/relationships/hyperlink" Target="http://old.iheid.ch/files/%7Bworkspace%7D/sites/intranet/files/users/admin_students/Prof_Kohen_website/Pleadings/CR%202012_16%20translation.pdf" TargetMode="External"/><Relationship Id="rId82" Type="http://schemas.openxmlformats.org/officeDocument/2006/relationships/hyperlink" Target="https://www.graduateinstitute.ch/sites/internet/files/2020-11/CR%202009_13_translation.pdf" TargetMode="External"/><Relationship Id="rId19" Type="http://schemas.openxmlformats.org/officeDocument/2006/relationships/hyperlink" Target="http://www.icj-cij.org/files/case-related/157/157-20170710-ORA-01-00-BI.pdf" TargetMode="External"/><Relationship Id="rId14" Type="http://schemas.openxmlformats.org/officeDocument/2006/relationships/hyperlink" Target="http://www.icj-cij.org/files/case-related/157/157-20170703-ORA-02-01-BI.pdf" TargetMode="External"/><Relationship Id="rId30" Type="http://schemas.openxmlformats.org/officeDocument/2006/relationships/hyperlink" Target="http://www.icj-cij.org/docket/files/152/18652.pdf" TargetMode="External"/><Relationship Id="rId35" Type="http://schemas.openxmlformats.org/officeDocument/2006/relationships/hyperlink" Target="http://www.icj-cij.org/docket/files/150/18574.pdf" TargetMode="External"/><Relationship Id="rId56" Type="http://schemas.openxmlformats.org/officeDocument/2006/relationships/hyperlink" Target="https://www.graduateinstitute.ch/sites/internet/files/2020-11/TIDM_PV_12_A20_3_Fr.pdf" TargetMode="External"/><Relationship Id="rId77" Type="http://schemas.openxmlformats.org/officeDocument/2006/relationships/hyperlink" Target="https://www.graduateinstitute.ch/sites/internet/files/2020-11/CR%202009_15_original.pdf" TargetMode="External"/><Relationship Id="rId100" Type="http://schemas.openxmlformats.org/officeDocument/2006/relationships/hyperlink" Target="https://www.graduateinstitute.ch/sites/internet/files/2020-11/CR%202006_57_original.pdf" TargetMode="External"/><Relationship Id="rId105"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icj-cij.org/presscom/view_vod.php?event=20131014_crn&amp;filename=2742116397001" TargetMode="External"/><Relationship Id="rId72" Type="http://schemas.openxmlformats.org/officeDocument/2006/relationships/hyperlink" Target="https://www.graduateinstitute.ch/sites/internet/files/2020-11/CR%202011_1_translation.pdf" TargetMode="External"/><Relationship Id="rId93" Type="http://schemas.openxmlformats.org/officeDocument/2006/relationships/hyperlink" Target="https://www.graduateinstitute.ch/sites/internet/files/2020-11/CR%202007_31_original.pdf" TargetMode="External"/><Relationship Id="rId98" Type="http://schemas.openxmlformats.org/officeDocument/2006/relationships/hyperlink" Target="https://www.graduateinstitute.ch/sites/internet/files/2020-11/CR%202007_27_translation.pdf" TargetMode="External"/><Relationship Id="rId3" Type="http://schemas.openxmlformats.org/officeDocument/2006/relationships/styles" Target="styles.xml"/><Relationship Id="rId25" Type="http://schemas.openxmlformats.org/officeDocument/2006/relationships/hyperlink" Target="http://www.icj-cij.org/docket/files/152/18674.pdf" TargetMode="External"/><Relationship Id="rId46" Type="http://schemas.openxmlformats.org/officeDocument/2006/relationships/hyperlink" Target="http://www.icj-cij.org/docket/files/150/17590.pdf" TargetMode="External"/><Relationship Id="rId67" Type="http://schemas.openxmlformats.org/officeDocument/2006/relationships/hyperlink" Target="http://www.icj-cij.org/presscom/gallery.php?p1=6&amp;event=20120426_nicol" TargetMode="External"/><Relationship Id="rId20" Type="http://schemas.openxmlformats.org/officeDocument/2006/relationships/hyperlink" Target="http://www.icj-cij.org/files/case-related/157/157-20170710-ORA-01-01-BI.pdf" TargetMode="External"/><Relationship Id="rId41" Type="http://schemas.openxmlformats.org/officeDocument/2006/relationships/hyperlink" Target="http://www.icj-cij.org/docket/files/150/17598.pdf" TargetMode="External"/><Relationship Id="rId62" Type="http://schemas.openxmlformats.org/officeDocument/2006/relationships/hyperlink" Target="http://old.iheid.ch/files/%7Bworkspace%7D/sites/intranet/files/users/admin_students/Prof_Kohen_website/Pleadings/CR%202012_13_original.pdf" TargetMode="External"/><Relationship Id="rId83" Type="http://schemas.openxmlformats.org/officeDocument/2006/relationships/hyperlink" Target="https://www.graduateinstitute.ch/sites/internet/files/2020-11/CR%202009_6_original.pdf" TargetMode="External"/><Relationship Id="rId88" Type="http://schemas.openxmlformats.org/officeDocument/2006/relationships/hyperlink" Target="https://www.graduateinstitute.ch/sites/internet/files/2020-11/CR%202009_3_translation.pdf" TargetMode="External"/><Relationship Id="rId11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udechapman/Desktop/IHEID_document.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HEI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52C1D-E8BE-A740-889D-77BDEC4A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IHEID_document.dotm</Template>
  <TotalTime>22</TotalTime>
  <Pages>6</Pages>
  <Words>4020</Words>
  <Characters>23641</Characters>
  <Application>Microsoft Office Word</Application>
  <DocSecurity>0</DocSecurity>
  <Lines>463</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vt:lpstr>
      <vt:lpstr>TITRE</vt:lpstr>
    </vt:vector>
  </TitlesOfParts>
  <Company>IHEID, Geneva</Company>
  <LinksUpToDate>false</LinksUpToDate>
  <CharactersWithSpaces>27610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CHAPMAN Aude</cp:lastModifiedBy>
  <cp:revision>1</cp:revision>
  <cp:lastPrinted>2016-12-14T13:17:00Z</cp:lastPrinted>
  <dcterms:created xsi:type="dcterms:W3CDTF">2020-11-12T09:28:00Z</dcterms:created>
  <dcterms:modified xsi:type="dcterms:W3CDTF">2020-11-12T11:23:00Z</dcterms:modified>
  <cp:version>2.14</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jet">
    <vt:lpwstr/>
  </property>
  <property fmtid="{D5CDD505-2E9C-101B-9397-08002B2CF9AE}" pid="3" name="Titre">
    <vt:lpwstr/>
  </property>
  <property fmtid="{D5CDD505-2E9C-101B-9397-08002B2CF9AE}" pid="4" name="t-version">
    <vt:lpwstr>2.03</vt:lpwstr>
  </property>
</Properties>
</file>